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283"/>
        <w:rPr/>
      </w:pPr>
      <w:r>
        <w:rPr/>
        <w:t>Информация Минтруда России от 4 марта 2013 г.</w:t>
      </w:r>
    </w:p>
    <w:p>
      <w:pPr>
        <w:pStyle w:val="Heading2"/>
        <w:rPr/>
      </w:pPr>
      <w:r>
        <w:rPr/>
        <w:t>«Обзор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p>
    <w:p>
      <w:pPr>
        <w:pStyle w:val="TextBody"/>
        <w:rPr/>
      </w:pPr>
      <w:r>
        <w:rPr/>
        <w:t>(актуализирован в июле 2015 г., внесены дополнения по вопросу ответственности за подкуп иностранных должностных лиц)</w:t>
      </w:r>
    </w:p>
    <w:p>
      <w:pPr>
        <w:pStyle w:val="TextBody"/>
        <w:rPr/>
      </w:pPr>
      <w:r>
        <w:rPr>
          <w:rStyle w:val="StrongEmphasis"/>
        </w:rPr>
        <w:t>I.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w:t>
      </w:r>
    </w:p>
    <w:p>
      <w:pPr>
        <w:pStyle w:val="TextBody"/>
        <w:rPr/>
      </w:pPr>
      <w:r>
        <w:rPr/>
        <w:t>Российская Федерация реализует принятые обязательства во исполнение конвенций Организации Объединенных Наций,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рекомендаций Совета Европы и других международных организаций.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правонарушения.</w:t>
      </w:r>
    </w:p>
    <w:p>
      <w:pPr>
        <w:pStyle w:val="TextBody"/>
        <w:rPr/>
      </w:pPr>
      <w:r>
        <w:rP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pPr>
        <w:pStyle w:val="TextBody"/>
        <w:rPr/>
      </w:pPr>
      <w:r>
        <w:rPr/>
        <w:t>В соответствии со статьей 3 Конвенции Совета Европы об уголовной ответственности за коррупцию от 27 января 1999 г., вступившей в силу для Российской Федерации с 1 февраля 2007 г., Россия взяла на себя обязательство признать в качестве уголовного правонарушения прямое или косвенное преднамеренное испрашивание или получение какими-либо из публичных должностных лиц какого-либо неправомерного преимущества для самого этого лица или любого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pPr>
        <w:pStyle w:val="TextBody"/>
        <w:rPr/>
      </w:pPr>
      <w:r>
        <w:rPr/>
        <w:t>Изменения, направленные на решение концептуальных проблем в области борьбы с коррупцией, были внесены в Уголовный кодекс Российской Федерации и Кодекс Российской Федерации об административных правонарушениях Федеральным законом от 4 мая 2011 г. №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 – Федеральный закон № 97-ФЗ).</w:t>
      </w:r>
    </w:p>
    <w:p>
      <w:pPr>
        <w:pStyle w:val="TextBody"/>
        <w:rPr/>
      </w:pPr>
      <w:r>
        <w:rPr/>
        <w:t>Вступившие в силу 17 мая 2011 г. изменения, внесенные в Уголовный кодекс Российской Федерации (далее – УК РФ),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
    <w:p>
      <w:pPr>
        <w:pStyle w:val="TextBody"/>
        <w:rPr/>
      </w:pPr>
      <w:r>
        <w:rPr/>
        <w:t>Уголовная ответственность за получение и (или) дачу взятки устанавливается также в отношении иностранных должностных лиц либо должностных лиц публичной международной организации.</w:t>
      </w:r>
    </w:p>
    <w:p>
      <w:pPr>
        <w:pStyle w:val="TextBody"/>
        <w:rPr/>
      </w:pPr>
      <w:r>
        <w:rPr/>
        <w:t>Согласно пункту 2 примечания к статье 290 УК РФ под иностранным должностным лицом в указанной статье, статьях 291 и 291.1 УК РФ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pPr>
        <w:pStyle w:val="TextBody"/>
        <w:rPr/>
      </w:pPr>
      <w:r>
        <w:rPr/>
        <w:t>УК РФ также включает норму, предусматривающую ответственность за посредничество во взяточничестве (статья 291.1 УК РФ).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pPr>
        <w:pStyle w:val="TextBody"/>
        <w:rPr/>
      </w:pPr>
      <w:r>
        <w:rPr/>
        <w:t>В части 5 статьи 291.1 УК РФ установлена ответственность за обещание или предложение посредничества во взяточничестве. Санкции, предусмотренные пятой и первой частями статьи 291.1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pPr>
        <w:pStyle w:val="TextBody"/>
        <w:rPr/>
      </w:pPr>
      <w:r>
        <w:rPr/>
        <w:t>Под коммерческим подкупом и взяткой в УК РФ понимается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Кроме того, в статьях 204, 290, 291 УК РФ определены отягчающие обстоятельства, а также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pPr>
        <w:pStyle w:val="TextBody"/>
        <w:rPr/>
      </w:pPr>
      <w:r>
        <w:rPr/>
        <w:t>В примечаниях к статье 291 УК РФ представлен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pPr>
        <w:pStyle w:val="TextBody"/>
        <w:rPr/>
      </w:pPr>
      <w:r>
        <w:rPr/>
        <w:t>Вместе с тем, пунктом 22 постановления Пленума Верховного Суда Российской Федерации от 9 июля 2013 г. № 24 «О судебной практике по делам о взяточничестве и об иных коррупционных преступлениях» рекомендовано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 образующих самостоятельный состав преступления, не охватывается объективной стороной преступлений, предусмотренных статьей 290 и частями 3 и 4 статьи 204 УК РФ. 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Особенной части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служебный подлог, фальсификацию доказательств и т.п.</w:t>
      </w:r>
    </w:p>
    <w:p>
      <w:pPr>
        <w:pStyle w:val="TextBody"/>
        <w:rPr/>
      </w:pPr>
      <w:r>
        <w:rPr/>
        <w:t>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Кодекс Российской Федерации об административных правонарушениях (далее – КоАП РФ).</w:t>
      </w:r>
    </w:p>
    <w:p>
      <w:pPr>
        <w:pStyle w:val="TextBody"/>
        <w:rPr/>
      </w:pPr>
      <w:r>
        <w:rPr/>
        <w:t>Так, в частности, Федеральным законом № 97-ФЗ введена статья 19.28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pPr>
        <w:pStyle w:val="TextBody"/>
        <w:rPr/>
      </w:pPr>
      <w:r>
        <w:rPr/>
        <w:t>Определение иностранного должностного лица и должностного лица публичной международной организации приведено в пункте 3 примечания к статье 19.28 КоАП РФ и совпадает с определением, закрепленным в пункте 2 примечания к статье 290 УК РФ.</w:t>
      </w:r>
    </w:p>
    <w:p>
      <w:pPr>
        <w:pStyle w:val="TextBody"/>
        <w:rPr/>
      </w:pPr>
      <w:r>
        <w:rPr/>
        <w:t>В рамках реализации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в отношении случаев привлечения к ответственности за подкуп иностранных должностных лиц необходимо учитывать положения нормативных правовых актов ряда зарубежных государств, посвященные противодействию коррупции, имеющих экстерриториальное действие. Такого рода нормативные правовые акты устанавливают санкции за совершение коррупционных правонарушений, которые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w:t>
      </w:r>
    </w:p>
    <w:p>
      <w:pPr>
        <w:pStyle w:val="TextBody"/>
        <w:rPr/>
      </w:pPr>
      <w:r>
        <w:rPr/>
        <w:t>Наиболее известные нормативные правовые акты зарубежных государств по вопросам противодействия коррупции, имеющие экстерриториальное действие, категории субъектов, на которые они распространяются, и условия привлечения их к ответственности приведены в Методических рекомендациях по разработке и принятию организациями мер по предупреждению и противодействию коррупции (</w:t>
      </w:r>
      <w:hyperlink r:id="rId2">
        <w:r>
          <w:rPr>
            <w:rStyle w:val="InternetLink"/>
          </w:rPr>
          <w:t>/ministry/anticorruption/Methods</w:t>
        </w:r>
      </w:hyperlink>
      <w:r>
        <w:rPr/>
        <w:t>).</w:t>
      </w:r>
    </w:p>
    <w:p>
      <w:pPr>
        <w:pStyle w:val="TextBody"/>
        <w:rPr/>
      </w:pPr>
      <w:r>
        <w:rP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также является неприемлемым для государственных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pPr>
        <w:pStyle w:val="TextBody"/>
        <w:rPr/>
      </w:pPr>
      <w:r>
        <w:rPr/>
        <w:t>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pPr>
        <w:pStyle w:val="TextBody"/>
        <w:rPr/>
      </w:pPr>
      <w:r>
        <w:rPr/>
        <w:t>В соответствии с Федеральным законом от 25 декабря 2008 г. № 273-ФЗ «О противодействии коррупции» одним из основных принципов противодействия коррупции определена приоритетность мер по ее профилактике.</w:t>
      </w:r>
    </w:p>
    <w:p>
      <w:pPr>
        <w:pStyle w:val="TextBody"/>
        <w:rPr/>
      </w:pPr>
      <w:r>
        <w:rPr/>
        <w:t>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 и организациях. В целях методической поддержки их деятельности подготовлен комплекс организационных, разъяснительных и иных мер по недопущению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(далее – комплекс мер).</w:t>
      </w:r>
    </w:p>
    <w:p>
      <w:pPr>
        <w:pStyle w:val="TextBody"/>
        <w:rPr/>
      </w:pPr>
      <w:r>
        <w:rPr/>
        <w:t>Мероприятия, включенные в комплекс мер, рекомендуется осуществлять по следующим направлениям:</w:t>
      </w:r>
    </w:p>
    <w:p>
      <w:pPr>
        <w:pStyle w:val="TextBody"/>
        <w:rPr/>
      </w:pPr>
      <w:r>
        <w:rPr/>
        <w:t>1) 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
    <w:p>
      <w:pPr>
        <w:pStyle w:val="TextBody"/>
        <w:rPr/>
      </w:pPr>
      <w:r>
        <w:rP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pPr>
        <w:pStyle w:val="TextBody"/>
        <w:rPr/>
      </w:pPr>
      <w:r>
        <w:rP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pPr>
        <w:pStyle w:val="TextBody"/>
        <w:rPr/>
      </w:pPr>
      <w:r>
        <w:rP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pPr>
        <w:pStyle w:val="TextBody"/>
        <w:rPr/>
      </w:pPr>
      <w:r>
        <w:rPr/>
        <w:t>Основными задачами осуществления комплекса мер являются:</w:t>
      </w:r>
    </w:p>
    <w:p>
      <w:pPr>
        <w:pStyle w:val="TextBody"/>
        <w:rPr/>
      </w:pPr>
      <w:r>
        <w:rPr/>
        <w:t>а) формирование в органе государственной власти, местного самоуправления, государственном внебюджетном фонде, организации 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pPr>
        <w:pStyle w:val="TextBody"/>
        <w:rPr/>
      </w:pPr>
      <w:r>
        <w:rPr/>
        <w:t>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pPr>
        <w:pStyle w:val="TextBody"/>
        <w:rPr/>
      </w:pPr>
      <w:r>
        <w:rPr/>
        <w:t xml:space="preserve">в) обеспечение выполнения служащими, работниками, юридическими и физическими лицами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 </w:t>
      </w:r>
    </w:p>
    <w:p>
      <w:pPr>
        <w:pStyle w:val="TextBody"/>
        <w:rPr/>
      </w:pPr>
      <w:r>
        <w:rPr>
          <w:rStyle w:val="StrongEmphasis"/>
        </w:rPr>
        <w:t>II. Комплекс организационных, разъяснительных и иных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pPr>
        <w:pStyle w:val="TextBody"/>
        <w:rPr>
          <w:u w:val="single"/>
        </w:rPr>
      </w:pPr>
      <w:r>
        <w:rPr>
          <w:u w:val="single"/>
        </w:rPr>
        <w:t>1. 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
    <w:p>
      <w:pPr>
        <w:pStyle w:val="TextBody"/>
        <w:rPr/>
      </w:pPr>
      <w:r>
        <w:rPr/>
        <w:t>Реализацию данного направления рекомендуется осуществлять посредством:</w:t>
      </w:r>
    </w:p>
    <w:p>
      <w:pPr>
        <w:pStyle w:val="TextBody"/>
        <w:numPr>
          <w:ilvl w:val="0"/>
          <w:numId w:val="1"/>
        </w:numPr>
        <w:tabs>
          <w:tab w:val="left" w:pos="0" w:leader="none"/>
        </w:tabs>
        <w:spacing w:before="0" w:after="0"/>
        <w:ind w:left="707" w:hanging="283"/>
        <w:rPr/>
      </w:pPr>
      <w:r>
        <w:rPr/>
        <w:t xml:space="preserve">проведения серии учебно-практических семинаров (тренингов); </w:t>
      </w:r>
    </w:p>
    <w:p>
      <w:pPr>
        <w:pStyle w:val="TextBody"/>
        <w:numPr>
          <w:ilvl w:val="0"/>
          <w:numId w:val="1"/>
        </w:numPr>
        <w:tabs>
          <w:tab w:val="left" w:pos="0" w:leader="none"/>
        </w:tabs>
        <w:ind w:left="707" w:hanging="283"/>
        <w:rPr/>
      </w:pPr>
      <w:r>
        <w:rPr/>
        <w:t xml:space="preserve">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w:t>
      </w:r>
    </w:p>
    <w:p>
      <w:pPr>
        <w:pStyle w:val="TextBody"/>
        <w:rPr/>
      </w:pPr>
      <w:r>
        <w:rPr/>
        <w:t>1.1. В рамках серии учебно-практических семинаров является целесообразным рассмотрение следующих вопросов.</w:t>
      </w:r>
    </w:p>
    <w:p>
      <w:pPr>
        <w:pStyle w:val="TextBody"/>
        <w:rPr/>
      </w:pPr>
      <w:r>
        <w:rPr/>
        <w:t>1) Понятие взятки. Необходимо обратить внимание служащих и работников на то, что 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(пункт 9 Постановления Пленума Верховного Суда Российской Федерации от 10 февраля 2000 г. № 6 «О судебной практике по делам о взяточничестве и коммерческом подкупе» (далее – Постановление Пленума ВС РФ № 6)).</w:t>
      </w:r>
    </w:p>
    <w:p>
      <w:pPr>
        <w:pStyle w:val="TextBody"/>
        <w:rPr/>
      </w:pPr>
      <w:r>
        <w:rPr/>
        <w:t>2) Понятие незаконного вознаграждения. Необходимо обратить внимание служащих и работников на то, что помимо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p>
    <w:p>
      <w:pPr>
        <w:pStyle w:val="TextBody"/>
        <w:rPr/>
      </w:pPr>
      <w:r>
        <w:rPr/>
        <w:t>В соответствии со статьей 19.28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pPr>
        <w:pStyle w:val="TextBody"/>
        <w:rPr/>
      </w:pPr>
      <w:r>
        <w:rP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pPr>
        <w:pStyle w:val="TextBody"/>
        <w:rPr/>
      </w:pPr>
      <w:r>
        <w:rPr/>
        <w:t>3) Понятие покушения на получение взятки. Необходимо обратить внимание служащих и работников на то, что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(пункт 11 Постановления Пленума ВС РФ № 6).</w:t>
      </w:r>
    </w:p>
    <w:p>
      <w:pPr>
        <w:pStyle w:val="TextBody"/>
        <w:rPr/>
      </w:pPr>
      <w:r>
        <w:rPr/>
        <w:t>4) Участие родственников в получении взятки. Необходимо указать, что,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pPr>
        <w:pStyle w:val="TextBody"/>
        <w:rPr/>
      </w:pPr>
      <w:r>
        <w:rPr/>
        <w:t>5) Понятие вымогательства взятки. Необходимо обратить внимание служащих и работников на то, что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правоохраняемых интересов (пункт 15 Постановления Пленума ВС РФ № 6).</w:t>
      </w:r>
    </w:p>
    <w:p>
      <w:pPr>
        <w:pStyle w:val="TextBody"/>
        <w:rPr/>
      </w:pPr>
      <w:r>
        <w:rPr/>
        <w:t>6) Подкуп иностранных должностных лиц. Государственным органам и служащим, а также 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Рядом зарубежных государств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Ознакомиться с зарубежным законодательством, касающимся подкупа иностранных должностных лиц, рекомендуется также должностным лицам в случае их командирования или при исполнении своих должностных обязанностей в представительствах государственных органов за рубежом.</w:t>
      </w:r>
    </w:p>
    <w:p>
      <w:pPr>
        <w:pStyle w:val="TextBody"/>
        <w:rPr/>
      </w:pPr>
      <w:r>
        <w:rPr/>
        <w:t>7) Исторические материалы по вышеуказанным вопросам, изложенным в Своде законов Российской Империи (Том III).</w:t>
      </w:r>
    </w:p>
    <w:p>
      <w:pPr>
        <w:pStyle w:val="TextBody"/>
        <w:rPr/>
      </w:pPr>
      <w:r>
        <w:rPr/>
        <w:t>1.2. Также необходимо обеспечить усиление информационной (просветительской) работы органов государственной власти, местного самоуправления, государственных внебюджетных фондов и организаций по ключевым вопросам обозначенного направления.</w:t>
      </w:r>
    </w:p>
    <w:p>
      <w:pPr>
        <w:pStyle w:val="TextBody"/>
        <w:rPr/>
      </w:pPr>
      <w:r>
        <w:rPr/>
        <w:t>Так в частности предлагается подготовить памятки для служащих и работников по следующим вопросам:</w:t>
      </w:r>
    </w:p>
    <w:p>
      <w:pPr>
        <w:pStyle w:val="TextBody"/>
        <w:rPr/>
      </w:pPr>
      <w:r>
        <w:rPr/>
        <w:t>1) уголовная ответственность за получение и дачу взятки»,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w:t>
      </w:r>
    </w:p>
    <w:p>
      <w:pPr>
        <w:pStyle w:val="TextBody"/>
        <w:rPr/>
      </w:pPr>
      <w:r>
        <w:rPr/>
        <w:t>2) сборник положений нормативных правовых актов, регулирующих вопросы применения ответственности за получение и дачу взятки и незаконного вознаграждения, в том числе: статьи 290, 291, 291.1 УК РФ; статьи 19.28 КоАп РФ; пункты 9, 11, 15 Постановления Пленума ВС РФ № 6.</w:t>
      </w:r>
    </w:p>
    <w:p>
      <w:pPr>
        <w:pStyle w:val="TextBody"/>
        <w:rPr/>
      </w:pPr>
      <w:r>
        <w:rPr/>
        <w:t>Памятки представляется целесообразным сформулировать на основе типовых жизненных ситуаций. Они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pPr>
        <w:pStyle w:val="TextBody"/>
        <w:rPr>
          <w:u w:val="single"/>
        </w:rPr>
      </w:pPr>
      <w:r>
        <w:rPr>
          <w:u w:val="single"/>
        </w:rP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pPr>
        <w:pStyle w:val="TextBody"/>
        <w:rPr/>
      </w:pPr>
      <w:r>
        <w:rPr/>
        <w:t>Обеспечение информирования служащих и работников об установленных действующим законодательством о противодействии коррупции ограничениях, запретах, обязанностях и принципах служебного поведения целесообразно осуществлять применяя следующие меры.</w:t>
      </w:r>
    </w:p>
    <w:p>
      <w:pPr>
        <w:pStyle w:val="TextBody"/>
        <w:rPr/>
      </w:pPr>
      <w:r>
        <w:rPr/>
        <w:t>2.1. В рамках учебных семинаров (бесед, лекций, практических занятий) следует разъяснять процедуры и формы соблюдения требований к служебному поведению, а также этические нормы поведения, которыми им надлежит руководствоваться при исполнении должностных обязанностей.</w:t>
      </w:r>
    </w:p>
    <w:p>
      <w:pPr>
        <w:pStyle w:val="TextBody"/>
        <w:rPr/>
      </w:pPr>
      <w:r>
        <w:rPr/>
        <w:t>В части организации семинаров (бесед, лекций, практических занятий) необходимо рассмотреть следующие вопросы.</w:t>
      </w:r>
    </w:p>
    <w:p>
      <w:pPr>
        <w:pStyle w:val="TextBody"/>
        <w:rPr/>
      </w:pPr>
      <w:r>
        <w:rPr/>
        <w:t>1) Порядок уведомления служащего и работника о фактах склонения к совершению коррупционного правонарушения.</w:t>
      </w:r>
    </w:p>
    <w:p>
      <w:pPr>
        <w:pStyle w:val="TextBody"/>
        <w:rPr/>
      </w:pPr>
      <w:r>
        <w:rPr/>
        <w:t>В ходе семинара, требуется:</w:t>
      </w:r>
    </w:p>
    <w:p>
      <w:pPr>
        <w:pStyle w:val="TextBody"/>
        <w:rPr/>
      </w:pPr>
      <w:r>
        <w:rPr/>
        <w:t>а) напомнить служащим и работникам, что уведомление представителя нанимателя (работодателя) о склонении к коррупционным правонарушениям является их обязанностью;</w:t>
      </w:r>
    </w:p>
    <w:p>
      <w:pPr>
        <w:pStyle w:val="TextBody"/>
        <w:rPr/>
      </w:pPr>
      <w:r>
        <w:rPr/>
        <w:t>б) указать служащим и работникам на то, что уведомление обо всех ситуациях склонения к коррупционным правонарушениям может привести к сокращению числа случаев предложения и дачи взятки, т.к. позволяет выявить недобросовестных представителей организаций и иных граждан, взаимодействующих с государственным органом, государственным внебюджетным фондом или организацией;</w:t>
      </w:r>
    </w:p>
    <w:p>
      <w:pPr>
        <w:pStyle w:val="TextBody"/>
        <w:rPr/>
      </w:pPr>
      <w:r>
        <w:rPr/>
        <w:t>в) разъяснить порядок направления и рассмотрения уведомления о склонении к коррупционным правонарушениям, утвержденный государственным органом, государственным внебюджетным фондом, организацией.</w:t>
      </w:r>
    </w:p>
    <w:p>
      <w:pPr>
        <w:pStyle w:val="TextBody"/>
        <w:rPr/>
      </w:pPr>
      <w:r>
        <w:rPr/>
        <w:t>2) Порядок урегулирования конфликта интересов.</w:t>
      </w:r>
    </w:p>
    <w:p>
      <w:pPr>
        <w:pStyle w:val="TextBody"/>
        <w:rPr/>
      </w:pPr>
      <w:r>
        <w:rPr/>
        <w:t>В ходе семинара, необходимо:</w:t>
      </w:r>
    </w:p>
    <w:p>
      <w:pPr>
        <w:pStyle w:val="TextBody"/>
        <w:rPr/>
      </w:pPr>
      <w:r>
        <w:rPr/>
        <w:t>а) указать служащим и работникам на то, что в целом ряде случаев совершение 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pPr>
        <w:pStyle w:val="TextBody"/>
        <w:numPr>
          <w:ilvl w:val="0"/>
          <w:numId w:val="2"/>
        </w:numPr>
        <w:tabs>
          <w:tab w:val="left" w:pos="0" w:leader="none"/>
        </w:tabs>
        <w:spacing w:before="0" w:after="0"/>
        <w:ind w:left="707" w:hanging="283"/>
        <w:rPr/>
      </w:pPr>
      <w:r>
        <w:rPr/>
        <w:t xml:space="preserve">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 </w:t>
      </w:r>
    </w:p>
    <w:p>
      <w:pPr>
        <w:pStyle w:val="TextBody"/>
        <w:numPr>
          <w:ilvl w:val="0"/>
          <w:numId w:val="2"/>
        </w:numPr>
        <w:tabs>
          <w:tab w:val="left" w:pos="0" w:leader="none"/>
        </w:tabs>
        <w:spacing w:before="0" w:after="0"/>
        <w:ind w:left="707" w:hanging="283"/>
        <w:rPr/>
      </w:pPr>
      <w:r>
        <w:rPr/>
        <w:t xml:space="preserve">родственники служащего или работника устраиваются на работу в организацию, которая извлекла, извлекает или может извлечь выгоду его из решений или действий (бездействия); </w:t>
      </w:r>
    </w:p>
    <w:p>
      <w:pPr>
        <w:pStyle w:val="TextBody"/>
        <w:numPr>
          <w:ilvl w:val="0"/>
          <w:numId w:val="2"/>
        </w:numPr>
        <w:tabs>
          <w:tab w:val="left" w:pos="0" w:leader="none"/>
        </w:tabs>
        <w:ind w:left="707" w:hanging="283"/>
        <w:rPr/>
      </w:pPr>
      <w:r>
        <w:rPr/>
        <w:t xml:space="preserve">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 </w:t>
      </w:r>
    </w:p>
    <w:p>
      <w:pPr>
        <w:pStyle w:val="TextBody"/>
        <w:rPr/>
      </w:pPr>
      <w:r>
        <w:rPr/>
        <w:t>б) напомнить служащим и работникам, что письменное информирование представителя нанимателя (работодателя) о возникновении личной заинтересованности, которая приводит или может привести к конфликту интересов, является их обязанностью;</w:t>
      </w:r>
    </w:p>
    <w:p>
      <w:pPr>
        <w:pStyle w:val="TextBody"/>
        <w:rPr/>
      </w:pPr>
      <w:r>
        <w:rPr/>
        <w:t>в) обсудить со служащими и работниками типовые ситуации конфликта интересов и порядок уведомления о возникновении личной заинтересованности.</w:t>
      </w:r>
    </w:p>
    <w:p>
      <w:pPr>
        <w:pStyle w:val="TextBody"/>
        <w:rPr/>
      </w:pPr>
      <w:r>
        <w:rPr/>
        <w:t>3) Действия и высказывания, которые могут быть восприняты окружающими как согласие принять взятку или как просьба о даче взятки.</w:t>
      </w:r>
    </w:p>
    <w:p>
      <w:pPr>
        <w:pStyle w:val="TextBody"/>
        <w:rPr/>
      </w:pPr>
      <w:r>
        <w:rPr/>
        <w:t>В ходе семинара, является целесообразным, в частности:</w:t>
      </w:r>
    </w:p>
    <w:p>
      <w:pPr>
        <w:pStyle w:val="TextBody"/>
        <w:rPr/>
      </w:pPr>
      <w:r>
        <w:rPr/>
        <w:t>а) обсудить со служащими и работниками слова, выражения и жесты, которые могут быть восприняты окружающими как просьба (намек) о даче взятки и указать на необходимость воздерживаться от употребления подобных выражений при взаимодействии с гражданами.</w:t>
      </w:r>
    </w:p>
    <w:p>
      <w:pPr>
        <w:pStyle w:val="TextBody"/>
        <w:rPr/>
      </w:pPr>
      <w:r>
        <w:rP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pPr>
        <w:pStyle w:val="TextBody"/>
        <w:rPr/>
      </w:pPr>
      <w:r>
        <w:rPr/>
        <w:t>б) указать служащим и работникам на то,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pPr>
        <w:pStyle w:val="TextBody"/>
        <w:rPr/>
      </w:pPr>
      <w:r>
        <w:rPr/>
        <w:t>К числу таких тем относятся, например:</w:t>
      </w:r>
    </w:p>
    <w:p>
      <w:pPr>
        <w:pStyle w:val="TextBody"/>
        <w:numPr>
          <w:ilvl w:val="0"/>
          <w:numId w:val="3"/>
        </w:numPr>
        <w:tabs>
          <w:tab w:val="left" w:pos="0" w:leader="none"/>
        </w:tabs>
        <w:spacing w:before="0" w:after="0"/>
        <w:ind w:left="707" w:hanging="283"/>
        <w:rPr/>
      </w:pPr>
      <w:r>
        <w:rPr/>
        <w:t xml:space="preserve">низкий уровень заработной платы служащего, работника и нехватка денежных средств на реализацию тех или иных нужд; </w:t>
      </w:r>
    </w:p>
    <w:p>
      <w:pPr>
        <w:pStyle w:val="TextBody"/>
        <w:numPr>
          <w:ilvl w:val="0"/>
          <w:numId w:val="3"/>
        </w:numPr>
        <w:tabs>
          <w:tab w:val="left" w:pos="0" w:leader="none"/>
        </w:tabs>
        <w:spacing w:before="0" w:after="0"/>
        <w:ind w:left="707" w:hanging="283"/>
        <w:rPr/>
      </w:pPr>
      <w:r>
        <w:rPr/>
        <w:t xml:space="preserve">желание приобрести то или иное имущество, получить ту или иную услугу, отправиться в туристическую поездку; </w:t>
      </w:r>
    </w:p>
    <w:p>
      <w:pPr>
        <w:pStyle w:val="TextBody"/>
        <w:numPr>
          <w:ilvl w:val="0"/>
          <w:numId w:val="3"/>
        </w:numPr>
        <w:tabs>
          <w:tab w:val="left" w:pos="0" w:leader="none"/>
        </w:tabs>
        <w:spacing w:before="0" w:after="0"/>
        <w:ind w:left="707" w:hanging="283"/>
        <w:rPr/>
      </w:pPr>
      <w:r>
        <w:rPr/>
        <w:t xml:space="preserve">отсутствие работы у родственников служащего, работника; </w:t>
      </w:r>
    </w:p>
    <w:p>
      <w:pPr>
        <w:pStyle w:val="TextBody"/>
        <w:numPr>
          <w:ilvl w:val="0"/>
          <w:numId w:val="3"/>
        </w:numPr>
        <w:tabs>
          <w:tab w:val="left" w:pos="0" w:leader="none"/>
        </w:tabs>
        <w:ind w:left="707" w:hanging="283"/>
        <w:rPr/>
      </w:pPr>
      <w:r>
        <w:rPr/>
        <w:t xml:space="preserve">необходимость поступления детей служащего, работника в образовательные учреждения и т.д. </w:t>
      </w:r>
    </w:p>
    <w:p>
      <w:pPr>
        <w:pStyle w:val="TextBody"/>
        <w:rPr/>
      </w:pPr>
      <w:r>
        <w:rPr/>
        <w:t>в) указать служащим и работникам, что определенные исходящие от них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pPr>
        <w:pStyle w:val="TextBody"/>
        <w:rPr/>
      </w:pPr>
      <w:r>
        <w:rP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pPr>
        <w:pStyle w:val="TextBody"/>
        <w:rPr/>
      </w:pPr>
      <w:r>
        <w:rPr/>
        <w:t>К числу таких предложений относятся, например предложения:</w:t>
      </w:r>
    </w:p>
    <w:p>
      <w:pPr>
        <w:pStyle w:val="TextBody"/>
        <w:numPr>
          <w:ilvl w:val="0"/>
          <w:numId w:val="4"/>
        </w:numPr>
        <w:tabs>
          <w:tab w:val="left" w:pos="0" w:leader="none"/>
        </w:tabs>
        <w:spacing w:before="0" w:after="0"/>
        <w:ind w:left="707" w:hanging="283"/>
        <w:rPr/>
      </w:pPr>
      <w:r>
        <w:rPr/>
        <w:t xml:space="preserve">предоставить служащему, работнику и/или его родственникам скидку; </w:t>
      </w:r>
    </w:p>
    <w:p>
      <w:pPr>
        <w:pStyle w:val="TextBody"/>
        <w:numPr>
          <w:ilvl w:val="0"/>
          <w:numId w:val="4"/>
        </w:numPr>
        <w:tabs>
          <w:tab w:val="left" w:pos="0" w:leader="none"/>
        </w:tabs>
        <w:spacing w:before="0" w:after="0"/>
        <w:ind w:left="707" w:hanging="283"/>
        <w:rPr/>
      </w:pPr>
      <w:r>
        <w:rPr/>
        <w:t xml:space="preserve">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 </w:t>
      </w:r>
    </w:p>
    <w:p>
      <w:pPr>
        <w:pStyle w:val="TextBody"/>
        <w:numPr>
          <w:ilvl w:val="0"/>
          <w:numId w:val="4"/>
        </w:numPr>
        <w:tabs>
          <w:tab w:val="left" w:pos="0" w:leader="none"/>
        </w:tabs>
        <w:spacing w:before="0" w:after="0"/>
        <w:ind w:left="707" w:hanging="283"/>
        <w:rPr/>
      </w:pPr>
      <w:r>
        <w:rPr/>
        <w:t xml:space="preserve">внести деньги в конкретный благотворительный фонд; </w:t>
      </w:r>
    </w:p>
    <w:p>
      <w:pPr>
        <w:pStyle w:val="TextBody"/>
        <w:numPr>
          <w:ilvl w:val="0"/>
          <w:numId w:val="4"/>
        </w:numPr>
        <w:tabs>
          <w:tab w:val="left" w:pos="0" w:leader="none"/>
        </w:tabs>
        <w:ind w:left="707" w:hanging="283"/>
        <w:rPr/>
      </w:pPr>
      <w:r>
        <w:rPr/>
        <w:t xml:space="preserve">поддержать конкретную спортивную команду и т.д. </w:t>
      </w:r>
    </w:p>
    <w:p>
      <w:pPr>
        <w:pStyle w:val="TextBody"/>
        <w:rPr/>
      </w:pPr>
      <w:r>
        <w:rPr/>
        <w:t>г) разъяснить служащим и работникам, что совершение ими определенных действий, может восприниматься как согласие принять взятку или просьба о даче взятки.</w:t>
      </w:r>
    </w:p>
    <w:p>
      <w:pPr>
        <w:pStyle w:val="TextBody"/>
        <w:rPr/>
      </w:pPr>
      <w:r>
        <w:rPr/>
        <w:t>К числу таких действий относятся, например:</w:t>
      </w:r>
    </w:p>
    <w:p>
      <w:pPr>
        <w:pStyle w:val="TextBody"/>
        <w:numPr>
          <w:ilvl w:val="0"/>
          <w:numId w:val="5"/>
        </w:numPr>
        <w:tabs>
          <w:tab w:val="left" w:pos="0" w:leader="none"/>
        </w:tabs>
        <w:spacing w:before="0" w:after="0"/>
        <w:ind w:left="707" w:hanging="283"/>
        <w:rPr/>
      </w:pPr>
      <w:r>
        <w:rPr/>
        <w:t xml:space="preserve">регулярное получение подарков, даже (если речь идет не о государственном гражданском служащем) стоимостью менее 3000 рублей; </w:t>
      </w:r>
    </w:p>
    <w:p>
      <w:pPr>
        <w:pStyle w:val="TextBody"/>
        <w:numPr>
          <w:ilvl w:val="0"/>
          <w:numId w:val="5"/>
        </w:numPr>
        <w:tabs>
          <w:tab w:val="left" w:pos="0" w:leader="none"/>
        </w:tabs>
        <w:ind w:left="707" w:hanging="283"/>
        <w:rPr/>
      </w:pPr>
      <w:r>
        <w:rPr/>
        <w:t xml:space="preserve">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 </w:t>
      </w:r>
    </w:p>
    <w:p>
      <w:pPr>
        <w:pStyle w:val="TextBody"/>
        <w:rPr/>
      </w:pPr>
      <w:r>
        <w:rPr/>
        <w:t>2.2. Также действенной мерой по данному направлению может стать подготовка и распространение среди служащих и работников памяток и иных методических материалов, содержащих разъяснения по ключевым вопросам, к которым, в частности, следует отнести:</w:t>
      </w:r>
    </w:p>
    <w:p>
      <w:pPr>
        <w:pStyle w:val="TextBody"/>
        <w:rPr/>
      </w:pPr>
      <w:r>
        <w:rPr/>
        <w:t>1) уведомление о склонении к коррупции. В памятке следует описать порядок действий служащего или работника при склонении его к коррупционным правонарушениям;</w:t>
      </w:r>
    </w:p>
    <w:p>
      <w:pPr>
        <w:pStyle w:val="TextBody"/>
        <w:rPr/>
      </w:pPr>
      <w:r>
        <w:rPr/>
        <w:t>2) о типовых случаях конфликтов интересов и порядок их урегулирования;</w:t>
      </w:r>
    </w:p>
    <w:p>
      <w:pPr>
        <w:pStyle w:val="TextBody"/>
        <w:rPr/>
      </w:pPr>
      <w:r>
        <w:rPr/>
        <w:t>3) поведение, которое может быть воспринято как согласие принять взятку или как просьба о даче взятки, в которую включить описание выражений, тем для разговора, предложений и действий, указанных в подпункте 3) раздела 2 настоящего комплекса мер.</w:t>
      </w:r>
    </w:p>
    <w:p>
      <w:pPr>
        <w:pStyle w:val="TextBody"/>
        <w:rPr>
          <w:u w:val="single"/>
        </w:rPr>
      </w:pPr>
      <w:r>
        <w:rPr>
          <w:u w:val="single"/>
        </w:rP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pPr>
        <w:pStyle w:val="TextBody"/>
        <w:rPr/>
      </w:pPr>
      <w:r>
        <w:rPr/>
        <w:t>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w:t>
      </w:r>
    </w:p>
    <w:p>
      <w:pPr>
        <w:pStyle w:val="TextBody"/>
        <w:rPr/>
      </w:pPr>
      <w:r>
        <w:rPr/>
        <w:t>На начальном этапе разработки акта, рекомендуется обеспечить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w:t>
      </w:r>
    </w:p>
    <w:p>
      <w:pPr>
        <w:pStyle w:val="TextBody"/>
        <w:rPr/>
      </w:pPr>
      <w:r>
        <w:rPr/>
        <w:t>В отношении принятых внутренних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 местного самоуправления, государственного внебюджетного фонда и организации. В ходе встречи предлагается обсуждать, прежде всего, те трудности, с которыми служащие и работники сталкиваются на практике при реализации тех или иных положений правовых актов (представление сведений о доходах, расхадах,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По итогам указанных обсуждений следует актуализировать положений локальных правовых актов.</w:t>
      </w:r>
    </w:p>
    <w:p>
      <w:pPr>
        <w:pStyle w:val="TextBody"/>
        <w:rPr/>
      </w:pPr>
      <w:r>
        <w:rPr/>
        <w:t>К вопросам, которые необходимо регламентировать локальными правовыми актами, в частности следует отнести вопрос о порядке уведомления представителя нанимателя (работодателя) о фактах склонения к коррупционным правонарушениям.</w:t>
      </w:r>
    </w:p>
    <w:p>
      <w:pPr>
        <w:pStyle w:val="TextBody"/>
        <w:rPr/>
      </w:pPr>
      <w:r>
        <w:rPr/>
        <w:t>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 Наличие эффективных механизмов защиты будет стимулировать служащих и работников не только отказываться от предложений взятки, но и сообщать о лицах, ее предложивших.</w:t>
      </w:r>
    </w:p>
    <w:p>
      <w:pPr>
        <w:pStyle w:val="TextBody"/>
        <w:rPr/>
      </w:pPr>
      <w:r>
        <w:rPr/>
        <w:t>В связи с этим необходимо, в частности:</w:t>
      </w:r>
    </w:p>
    <w:p>
      <w:pPr>
        <w:pStyle w:val="TextBody"/>
        <w:numPr>
          <w:ilvl w:val="0"/>
          <w:numId w:val="6"/>
        </w:numPr>
        <w:tabs>
          <w:tab w:val="left" w:pos="0" w:leader="none"/>
        </w:tabs>
        <w:spacing w:before="0" w:after="0"/>
        <w:ind w:left="707" w:hanging="283"/>
        <w:rPr/>
      </w:pPr>
      <w:r>
        <w:rPr/>
        <w:t xml:space="preserve">закрепить требования о конфиденциальности информации о личности заявителя; </w:t>
      </w:r>
    </w:p>
    <w:p>
      <w:pPr>
        <w:pStyle w:val="TextBody"/>
        <w:numPr>
          <w:ilvl w:val="0"/>
          <w:numId w:val="6"/>
        </w:numPr>
        <w:tabs>
          <w:tab w:val="left" w:pos="0" w:leader="none"/>
        </w:tabs>
        <w:spacing w:before="0" w:after="0"/>
        <w:ind w:left="707" w:hanging="283"/>
        <w:rPr/>
      </w:pPr>
      <w:r>
        <w:rPr/>
        <w:t xml:space="preserve">установить режим доступа к журналу входящей корреспонденции, содержащему данные, позволяющие идентифицировать личность заявителя; </w:t>
      </w:r>
    </w:p>
    <w:p>
      <w:pPr>
        <w:pStyle w:val="TextBody"/>
        <w:numPr>
          <w:ilvl w:val="0"/>
          <w:numId w:val="6"/>
        </w:numPr>
        <w:tabs>
          <w:tab w:val="left" w:pos="0" w:leader="none"/>
        </w:tabs>
        <w:ind w:left="707" w:hanging="283"/>
        <w:rPr/>
      </w:pPr>
      <w:r>
        <w:rPr/>
        <w:t xml:space="preserve">включить в этический кодекс государственного органа, государственного внебюджетного фонда и организации положение о том, что служащие и работники должны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 </w:t>
      </w:r>
    </w:p>
    <w:p>
      <w:pPr>
        <w:pStyle w:val="TextBody"/>
        <w:rPr>
          <w:u w:val="single"/>
        </w:rPr>
      </w:pPr>
      <w:r>
        <w:rPr>
          <w:u w:val="single"/>
        </w:rP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pPr>
        <w:pStyle w:val="TextBody"/>
        <w:rPr/>
      </w:pPr>
      <w:r>
        <w:rPr/>
        <w:t>В число мер по реализации данного направления необходимо включить следующие.</w:t>
      </w:r>
    </w:p>
    <w:p>
      <w:pPr>
        <w:pStyle w:val="TextBody"/>
        <w:rPr/>
      </w:pPr>
      <w:r>
        <w:rPr/>
        <w:t>Разместить в местах предоставления государственных услуг и в иных служебных помещениях, где на регулярной основе осуществляется взаимодействие граждан с организациями объявления (плакаты), указывающие на то, что:</w:t>
      </w:r>
    </w:p>
    <w:p>
      <w:pPr>
        <w:pStyle w:val="TextBody"/>
        <w:numPr>
          <w:ilvl w:val="0"/>
          <w:numId w:val="7"/>
        </w:numPr>
        <w:tabs>
          <w:tab w:val="left" w:pos="0" w:leader="none"/>
        </w:tabs>
        <w:spacing w:before="0" w:after="0"/>
        <w:ind w:left="707" w:hanging="283"/>
        <w:rPr/>
      </w:pPr>
      <w:r>
        <w:rPr/>
        <w:t xml:space="preserve">дача взятки должностному лицу наказывается лишением свободы. </w:t>
      </w:r>
    </w:p>
    <w:p>
      <w:pPr>
        <w:pStyle w:val="TextBody"/>
        <w:numPr>
          <w:ilvl w:val="0"/>
          <w:numId w:val="7"/>
        </w:numPr>
        <w:tabs>
          <w:tab w:val="left" w:pos="0" w:leader="none"/>
        </w:tabs>
        <w:spacing w:before="0" w:after="0"/>
        <w:ind w:left="707" w:hanging="283"/>
        <w:rPr/>
      </w:pPr>
      <w:r>
        <w:rPr/>
        <w:t xml:space="preserve">предложение должностному лицу денег или имущества, а также выгод или услуг имущественного характера могут быть истолкованы как покушение на дачу взятки; </w:t>
      </w:r>
    </w:p>
    <w:p>
      <w:pPr>
        <w:pStyle w:val="TextBody"/>
        <w:numPr>
          <w:ilvl w:val="0"/>
          <w:numId w:val="7"/>
        </w:numPr>
        <w:tabs>
          <w:tab w:val="left" w:pos="0" w:leader="none"/>
        </w:tabs>
        <w:ind w:left="707" w:hanging="283"/>
        <w:rPr/>
      </w:pPr>
      <w:r>
        <w:rPr/>
        <w:t xml:space="preserve">государственному служащему запрещается принимать подарки в связи с исполнением служебных обязанностей вне зависимости от стоимости подарка. </w:t>
      </w:r>
    </w:p>
    <w:p>
      <w:pPr>
        <w:pStyle w:val="TextBody"/>
        <w:rPr/>
      </w:pPr>
      <w:r>
        <w:rPr/>
        <w:t>Разместить на официальном сайте государственного органа, государственного внебюджетного фонда и организации, распространить в электронной и в печатной форме памятки и иные методические материалы для служащих и работников.</w:t>
      </w:r>
    </w:p>
    <w:p>
      <w:pPr>
        <w:pStyle w:val="TextBody"/>
        <w:rPr/>
      </w:pPr>
      <w:r>
        <w:rPr/>
        <w:t>Обеспечить возможности для граждан и организаций беспрепятственно направлять свои обращения в федеральный государственный орган (информация о работе «горячей линии», «телефона доверия», отправке почтовых сообщений, форма по отправке сообщений граждан и организаций через официальный сайт). Обращение гражданина может быть составлено в виде электронного документа и подписано электронной подписью.</w:t>
      </w:r>
    </w:p>
    <w:p>
      <w:pPr>
        <w:pStyle w:val="TextBody"/>
        <w:spacing w:before="0" w:after="283"/>
        <w:rPr/>
      </w:pPr>
      <w:r>
        <w:rPr/>
        <w:t xml:space="preserve">Оборудовать места предоставления государственных услуг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w:t>
      </w:r>
    </w:p>
    <w:sectPr>
      <w:type w:val="nextPage"/>
      <w:pgSz w:w="11906" w:h="16838"/>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horndale">
    <w:altName w:val="Times New Roman"/>
    <w:charset w:val="00"/>
    <w:family w:val="roman"/>
    <w:pitch w:val="variable"/>
  </w:font>
  <w:font w:name="OpenSymbol">
    <w:altName w:val="Arial Unicode MS"/>
    <w:charset w:val="02"/>
    <w:family w:val="auto"/>
    <w:pitch w:val="default"/>
  </w:font>
  <w:font w:name="Albany">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DejaVu Sans" w:cs="DejaVu Sans"/>
      <w:color w:val="auto"/>
      <w:sz w:val="24"/>
      <w:szCs w:val="24"/>
      <w:lang w:val="en-US" w:eastAsia="zh-CN" w:bidi="hi-IN"/>
    </w:rPr>
  </w:style>
  <w:style w:type="paragraph" w:styleId="Heading1">
    <w:name w:val="Heading 1"/>
    <w:basedOn w:val="Heading"/>
    <w:next w:val="TextBody"/>
    <w:qFormat/>
    <w:pPr/>
    <w:rPr>
      <w:rFonts w:ascii="Thorndale" w:hAnsi="Thorndale"/>
      <w:b/>
      <w:bCs/>
      <w:sz w:val="48"/>
      <w:szCs w:val="44"/>
    </w:rPr>
  </w:style>
  <w:style w:type="paragraph" w:styleId="Heading2">
    <w:name w:val="Heading 2"/>
    <w:basedOn w:val="Heading"/>
    <w:next w:val="TextBody"/>
    <w:qFormat/>
    <w:pPr>
      <w:spacing w:before="200" w:after="120"/>
      <w:outlineLvl w:val="1"/>
    </w:pPr>
    <w:rPr>
      <w:rFonts w:ascii="Liberation Serif" w:hAnsi="Liberation Serif" w:eastAsia="DejaVu Sans" w:cs="DejaVu Sans"/>
      <w:b/>
      <w:bCs/>
      <w:sz w:val="36"/>
      <w:szCs w:val="36"/>
    </w:rPr>
  </w:style>
  <w:style w:type="character" w:styleId="EndnoteCharacters">
    <w:name w:val="Endnote Characters"/>
    <w:qFormat/>
    <w:rPr/>
  </w:style>
  <w:style w:type="character" w:styleId="FootnoteCharacters">
    <w:name w:val="Footnote Characters"/>
    <w:qFormat/>
    <w:rPr/>
  </w:style>
  <w:style w:type="character" w:styleId="InternetLink">
    <w:name w:val="Internet Link"/>
    <w:rPr>
      <w:color w:val="000080"/>
      <w:u w:val="single"/>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283"/>
    </w:pPr>
    <w:rPr>
      <w:rFonts w:ascii="Albany" w:hAnsi="Albany"/>
      <w:sz w:val="28"/>
      <w:szCs w:val="26"/>
    </w:rPr>
  </w:style>
  <w:style w:type="paragraph" w:styleId="TextBody">
    <w:name w:val="Body Text"/>
    <w:basedOn w:val="Normal"/>
    <w:pPr>
      <w:spacing w:before="0" w:after="283"/>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enter" w:pos="4818" w:leader="none"/>
        <w:tab w:val="right" w:pos="9637" w:leader="none"/>
      </w:tabs>
    </w:pPr>
    <w:rPr/>
  </w:style>
  <w:style w:type="paragraph" w:styleId="Header">
    <w:name w:val="Header"/>
    <w:basedOn w:val="Normal"/>
    <w:pPr>
      <w:suppressLineNumbers/>
      <w:tabs>
        <w:tab w:val="center" w:pos="4818" w:leader="none"/>
        <w:tab w:val="right" w:pos="9637"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ministry/anticorruption/Methods"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LibreOffice/5.3.7.2$Linux_X86_64 LibreOffice_project/6b8ed514a9f8b44d37a1b96673cbbdd077e24059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