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380F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93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6A528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</w:t>
            </w:r>
            <w:r w:rsidR="006A528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</w:t>
            </w:r>
            <w:r w:rsidR="006A528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ской области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</w:t>
            </w:r>
            <w:r w:rsidR="00CD63FF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Пяжозерский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законом Вологодской области от 06.05.2022 № 5123-ОЗ «О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образовании всех поселений, входящих в состав Бабаевского муниципального ра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тельное Собрание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>орган администрации Бабаевского муниципального округа Вол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-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муниц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пального округа 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2. Утвердить Положение 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муниципального округа </w:t>
      </w:r>
      <w:r w:rsidR="006A528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согласно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ложению к настоящему решению.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нистрации Бабаевского муниципального округа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р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ский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Пяжозерское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Филиппова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Елена Леонидовна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 xml:space="preserve">3.2. финансовое обеспечение деятельности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Уполномочить исполняющего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686BC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Филиппову 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Елену Леонидовну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подать заявление в уполномоче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ный федеральный орган исполнительной власти, осуществляющий государстве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ную регистрацию юридических лиц, о государственной регистрации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ального отдела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88012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sz w:val="28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686BC2" w:rsidRPr="0028299B" w:rsidRDefault="00686BC2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. Установить, что территориальный отдел администрации Бабаевского м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ниципального округа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«Пяжозерский» приступает к исполн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нию своих полномочий с 1 января 2023 года.</w:t>
      </w:r>
    </w:p>
    <w:p w:rsidR="0028299B" w:rsidRPr="0028299B" w:rsidRDefault="00686BC2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 со дня его принятия.</w:t>
      </w:r>
    </w:p>
    <w:p w:rsidR="0028299B" w:rsidRPr="0028299B" w:rsidRDefault="00686BC2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Настоящее решение подлежит официальному опубликованию в официал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686BC2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686BC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C2D80" w:rsidRDefault="005C2D80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86BC2" w:rsidRDefault="00686BC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86BC2" w:rsidRDefault="00686BC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86BC2" w:rsidRDefault="00686BC2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                                                               УТВЕРЖДЕНО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решением Представительного Собрания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  </w:t>
      </w:r>
      <w:r w:rsidR="00380F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 № 93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ниципального округа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686BC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(далее по тексту – Положение)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686BC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 Бабаевского муниципального округа Вологодской области (далее по тексту – администрация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осуществляющим на территории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пального округа Вологодской области в границах </w:t>
      </w:r>
      <w:proofErr w:type="spellStart"/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Пяжозерского</w:t>
      </w:r>
      <w:proofErr w:type="spellEnd"/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сельсове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евского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округа в соответствии с насто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Положением, решениями Представительного Собрания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пального округа Вологодской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области, постановлениями и распоряжениями главы Бабаевского муниципального округа Вологодской области (далее – глава округа), постановлениями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зование 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Бабаевский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686BC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Пяжозе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ский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сокращенное официальное наименование –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 «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Пяжозерский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</w:t>
      </w:r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Бабаевский район,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п. Пяжелка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</w:t>
      </w:r>
      <w:r w:rsidR="00CD63FF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CD63FF" w:rsidRPr="00CD63FF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162465, Вологодская область, Бабаевский район, п. Пяже</w:t>
      </w:r>
      <w:r w:rsidR="00CD63FF" w:rsidRPr="00CD63FF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r w:rsidR="00CD63FF" w:rsidRPr="00CD63FF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ка, ул. Центральная, д.1.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1.4.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обладает правами юридического лица.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признанными принципами и нормами международного права, международными договорами Российской Федерации, Конституцией Российской Федерации, фед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ральными конституционными законами, федеральными законами и иными норм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тивными правовыми актами Российской Федерации, Уставом, законами и иными нормативными правовыми актами Вологодской области, Уставом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ное имущество, самостоятельный баланс, бюджетную смету,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зиты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1.7. Структура и штатное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2. Цели и задачи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2.1. Основной целью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эффе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тивное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управление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686BC2" w:rsidRPr="00686BC2" w:rsidRDefault="00686BC2" w:rsidP="00686BC2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b/>
          <w:color w:val="auto"/>
          <w:sz w:val="28"/>
          <w:szCs w:val="24"/>
          <w:lang w:eastAsia="ru-RU" w:bidi="ar-SA"/>
        </w:rPr>
        <w:t>Раздел 3. Полномочия территориального отдела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Территориальный отдел осуществляет следующие полномочия: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участвует в комплексном социально – экономическом развитии террит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представляет главе муниципального округа предложений по проекту мес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4) участвует в организации  мероприятий по сохранению памятников ист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5) участвует в организации сбора, вывоза бытовых и промышленных отх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6) участвует в   организации на подведомственной территории  электро-, те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топл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8) участвует в присвоении адресов объектам адресации и готовит проект пр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lastRenderedPageBreak/>
        <w:t>11) участвует в  организации осуществления предусмотренных законодател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12) участвует в создании условий для развития территориального общ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13) осуществляет прием населения, рассмотрения обращений граждан, пр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15)  участвует в организации проведения публичных слушаний (</w:t>
      </w:r>
      <w:proofErr w:type="gram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16) осуществляет по поручению главы муниципального округа иные полн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мочия, отнесенных к компетенции органов местного самоуправления.</w:t>
      </w:r>
    </w:p>
    <w:p w:rsidR="00686BC2" w:rsidRPr="00686BC2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вить территориальному отделу дополнительные полномочия путем издания соо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ветствующего муниципального правового акта.</w:t>
      </w:r>
    </w:p>
    <w:p w:rsidR="0028299B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3.3. Взаимоотношения территориального отдела с предприятиями, учрежд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686BC2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ниями, организациями и иными юридическими лицами строятся на основе норм гражданского и иного законодательства.</w:t>
      </w:r>
    </w:p>
    <w:p w:rsidR="00686BC2" w:rsidRPr="0028299B" w:rsidRDefault="00686BC2" w:rsidP="00686BC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4. Организация деятельности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Территориальным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отдел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м руководит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назначается и освобождается от должн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главой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 Должностная инструкция начальника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территориального отдела</w:t>
      </w:r>
      <w:r w:rsidR="00494CA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сотру</w:t>
      </w:r>
      <w:r w:rsidR="00494CA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="00494CA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ников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утверждается главой Бабаевского муниципального округа.</w:t>
      </w:r>
    </w:p>
    <w:p w:rsidR="0028299B" w:rsidRPr="0028299B" w:rsidRDefault="00494CA6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: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2) без доверенности действует от имени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управления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6)  распоряжается имуществом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</w:t>
      </w:r>
      <w:r w:rsidR="00686BC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одписывает финансовые документы.</w:t>
      </w:r>
    </w:p>
    <w:p w:rsid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380FAB" w:rsidRPr="0028299B" w:rsidRDefault="00380FA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bookmarkStart w:id="0" w:name="_GoBack"/>
      <w:bookmarkEnd w:id="0"/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lastRenderedPageBreak/>
        <w:t>Раздел 5. Ответственность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ю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законодательством за неисполнение или ненадлежащее исполнение возл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женных на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дущие к нарушению прав и законных интересов граждан, неисполнение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стей, нарушение запретов и несоблюдение ограничений, предусмотренных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494CA6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ность в соответствии с действующим трудовым законодательством в пределах установленных должностных обязанностей, в том числе за неисполнение обяза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ностей, нарушение запретов и несоблюдение ограничений, предусмотренных зак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494CA6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8691C"/>
    <w:rsid w:val="00095B0B"/>
    <w:rsid w:val="00095B3C"/>
    <w:rsid w:val="000B0693"/>
    <w:rsid w:val="001439E5"/>
    <w:rsid w:val="001C3F72"/>
    <w:rsid w:val="00211C33"/>
    <w:rsid w:val="0022746E"/>
    <w:rsid w:val="002633FB"/>
    <w:rsid w:val="0028299B"/>
    <w:rsid w:val="00285A6A"/>
    <w:rsid w:val="002E50FB"/>
    <w:rsid w:val="00344DBC"/>
    <w:rsid w:val="00352C63"/>
    <w:rsid w:val="00363054"/>
    <w:rsid w:val="00376025"/>
    <w:rsid w:val="00380FAB"/>
    <w:rsid w:val="00404394"/>
    <w:rsid w:val="004504F2"/>
    <w:rsid w:val="0049400F"/>
    <w:rsid w:val="00494CA6"/>
    <w:rsid w:val="005C2D80"/>
    <w:rsid w:val="005D6ECB"/>
    <w:rsid w:val="005F6163"/>
    <w:rsid w:val="00673A30"/>
    <w:rsid w:val="00686BC2"/>
    <w:rsid w:val="006A5284"/>
    <w:rsid w:val="006F5DF6"/>
    <w:rsid w:val="007D57D4"/>
    <w:rsid w:val="00857931"/>
    <w:rsid w:val="00880122"/>
    <w:rsid w:val="008C3D36"/>
    <w:rsid w:val="009A2AD2"/>
    <w:rsid w:val="009E466B"/>
    <w:rsid w:val="009F00E0"/>
    <w:rsid w:val="00A63924"/>
    <w:rsid w:val="00A64CC9"/>
    <w:rsid w:val="00B21261"/>
    <w:rsid w:val="00B41EA4"/>
    <w:rsid w:val="00BD3B93"/>
    <w:rsid w:val="00C42A0C"/>
    <w:rsid w:val="00C6154C"/>
    <w:rsid w:val="00C63CB6"/>
    <w:rsid w:val="00C94E09"/>
    <w:rsid w:val="00CD3655"/>
    <w:rsid w:val="00CD63FF"/>
    <w:rsid w:val="00E567E7"/>
    <w:rsid w:val="00EF10AD"/>
    <w:rsid w:val="00F04B93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95BB-EB12-4D7D-A855-03008C09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2022-11-15T13:04:00Z</cp:lastPrinted>
  <dcterms:created xsi:type="dcterms:W3CDTF">2022-11-14T12:54:00Z</dcterms:created>
  <dcterms:modified xsi:type="dcterms:W3CDTF">2022-11-15T13:04:00Z</dcterms:modified>
  <dc:language>ru-RU</dc:language>
</cp:coreProperties>
</file>