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84"/>
        <w:gridCol w:w="3827"/>
      </w:tblGrid>
      <w:tr w:rsidR="00917AD6">
        <w:tc>
          <w:tcPr>
            <w:tcW w:w="9889" w:type="dxa"/>
            <w:gridSpan w:val="3"/>
          </w:tcPr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E350AB" w:rsidRPr="00E350AB" w:rsidRDefault="00E350AB" w:rsidP="00E350AB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E350AB" w:rsidRPr="00E350AB" w:rsidRDefault="00E350AB" w:rsidP="00E350AB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E350AB" w:rsidRPr="00E350AB" w:rsidRDefault="00E350AB" w:rsidP="00E350AB">
            <w:pPr>
              <w:rPr>
                <w:rFonts w:ascii="Times New Roman" w:hAnsi="Times New Roman"/>
                <w:color w:val="auto"/>
              </w:rPr>
            </w:pPr>
          </w:p>
          <w:p w:rsidR="00E350AB" w:rsidRPr="00E350AB" w:rsidRDefault="00E350AB" w:rsidP="00E350AB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>РЕШЕНИЕ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E350AB" w:rsidRPr="00E350AB" w:rsidRDefault="00E350AB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</w:t>
            </w:r>
            <w:r w:rsidR="00466DFB">
              <w:rPr>
                <w:rFonts w:ascii="Times New Roman" w:hAnsi="Times New Roman"/>
                <w:color w:val="auto"/>
                <w:sz w:val="28"/>
                <w:szCs w:val="28"/>
              </w:rPr>
              <w:t>16.09.2022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№  </w:t>
            </w:r>
            <w:r w:rsidR="00466DFB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</w:t>
            </w:r>
          </w:p>
          <w:p w:rsidR="00E350AB" w:rsidRPr="00E350AB" w:rsidRDefault="00E350AB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 w:rsidRPr="00E350AB">
              <w:rPr>
                <w:rFonts w:ascii="Times New Roman" w:hAnsi="Times New Roman"/>
                <w:color w:val="auto"/>
                <w:sz w:val="24"/>
              </w:rPr>
              <w:t>г. Бабаево</w:t>
            </w:r>
          </w:p>
          <w:p w:rsidR="00917AD6" w:rsidRDefault="00917AD6">
            <w:pPr>
              <w:pStyle w:val="a6"/>
              <w:rPr>
                <w:sz w:val="28"/>
              </w:rPr>
            </w:pP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Default="004C57F2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4C57F2">
            <w:pPr>
              <w:widowControl w:val="0"/>
              <w:tabs>
                <w:tab w:val="left" w:pos="4358"/>
              </w:tabs>
              <w:ind w:right="-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</w:t>
            </w: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Default="004C57F2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определении порядка голосования</w:t>
            </w:r>
          </w:p>
          <w:p w:rsidR="00917AD6" w:rsidRDefault="004C57F2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вопросам повестки дня первого</w:t>
            </w:r>
          </w:p>
          <w:p w:rsidR="00917AD6" w:rsidRDefault="004C57F2" w:rsidP="005D124C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заседания  </w:t>
            </w:r>
            <w:r w:rsidR="005D124C">
              <w:rPr>
                <w:rFonts w:ascii="Times New Roman" w:hAnsi="Times New Roman"/>
                <w:sz w:val="28"/>
              </w:rPr>
              <w:t>Представительного Собрания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5D124C">
              <w:rPr>
                <w:rFonts w:ascii="Times New Roman" w:hAnsi="Times New Roman"/>
                <w:sz w:val="28"/>
              </w:rPr>
              <w:t xml:space="preserve">Бабаевского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  <w:r w:rsidR="004B5F7C">
              <w:rPr>
                <w:rFonts w:ascii="Times New Roman" w:hAnsi="Times New Roman"/>
                <w:sz w:val="28"/>
              </w:rPr>
              <w:t xml:space="preserve"> Вологодской области</w:t>
            </w: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4C57F2">
            <w:pPr>
              <w:widowControl w:val="0"/>
              <w:tabs>
                <w:tab w:val="left" w:pos="4358"/>
              </w:tabs>
              <w:ind w:right="-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</w:t>
            </w: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Default="00917AD6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  <w:p w:rsidR="00917AD6" w:rsidRDefault="00917AD6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917AD6" w:rsidRDefault="004C57F2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статьей 35 Федерального закона от 06.10.2003 № 131-ФЗ «Об общих принципах организации местного самоуправления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Российской </w:t>
      </w:r>
      <w:proofErr w:type="gramStart"/>
      <w:r>
        <w:rPr>
          <w:rFonts w:ascii="Times New Roman" w:hAnsi="Times New Roman"/>
          <w:sz w:val="28"/>
        </w:rPr>
        <w:t xml:space="preserve">Федерации», в соответствии с законом </w:t>
      </w:r>
      <w:r w:rsidR="005D124C">
        <w:rPr>
          <w:rFonts w:ascii="Times New Roman" w:hAnsi="Times New Roman"/>
          <w:sz w:val="28"/>
        </w:rPr>
        <w:t>Вологодской</w:t>
      </w:r>
      <w:r w:rsidR="005D124C" w:rsidRPr="005D124C">
        <w:rPr>
          <w:rFonts w:ascii="Times New Roman" w:hAnsi="Times New Roman"/>
          <w:color w:val="auto"/>
          <w:sz w:val="28"/>
          <w:szCs w:val="28"/>
        </w:rPr>
        <w:t xml:space="preserve"> области от 6 мая 2022 года № 5123-ОЗ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</w:t>
      </w:r>
      <w:r w:rsidR="000A2CD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5D124C">
        <w:rPr>
          <w:rFonts w:ascii="Times New Roman" w:hAnsi="Times New Roman"/>
          <w:sz w:val="28"/>
        </w:rPr>
        <w:t>Представительное Собрание Бабаевского му</w:t>
      </w:r>
      <w:r>
        <w:rPr>
          <w:rFonts w:ascii="Times New Roman" w:hAnsi="Times New Roman"/>
          <w:sz w:val="28"/>
        </w:rPr>
        <w:t>ниципального округа</w:t>
      </w:r>
      <w:r w:rsidR="004B5F7C">
        <w:rPr>
          <w:rFonts w:ascii="Times New Roman" w:hAnsi="Times New Roman"/>
          <w:sz w:val="28"/>
        </w:rPr>
        <w:t xml:space="preserve"> Вологодской области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917AD6">
        <w:tc>
          <w:tcPr>
            <w:tcW w:w="1242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17AD6">
        <w:tc>
          <w:tcPr>
            <w:tcW w:w="1242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Default="004C57F2" w:rsidP="000A2CD1">
            <w:pPr>
              <w:pStyle w:val="Heading"/>
              <w:spacing w:before="0"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</w:rPr>
              <w:t>РЕШИЛ</w:t>
            </w:r>
            <w:r w:rsidR="000A2CD1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17AD6">
        <w:tc>
          <w:tcPr>
            <w:tcW w:w="1242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917AD6" w:rsidRDefault="004C57F2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Определить, что решения </w:t>
      </w:r>
      <w:r w:rsidR="000A2CD1">
        <w:rPr>
          <w:rFonts w:ascii="Times New Roman" w:hAnsi="Times New Roman"/>
          <w:sz w:val="28"/>
        </w:rPr>
        <w:t>Представительного Собрания Бабаевского</w:t>
      </w:r>
      <w:r>
        <w:rPr>
          <w:rFonts w:ascii="Times New Roman" w:hAnsi="Times New Roman"/>
          <w:sz w:val="28"/>
        </w:rPr>
        <w:t xml:space="preserve"> муниципального округа</w:t>
      </w:r>
      <w:r w:rsidR="004B5F7C">
        <w:rPr>
          <w:rFonts w:ascii="Times New Roman" w:hAnsi="Times New Roman"/>
          <w:sz w:val="28"/>
        </w:rPr>
        <w:t xml:space="preserve"> Вологодской области</w:t>
      </w:r>
      <w:r>
        <w:rPr>
          <w:rFonts w:ascii="Times New Roman" w:hAnsi="Times New Roman"/>
          <w:sz w:val="28"/>
        </w:rPr>
        <w:t xml:space="preserve"> по всем вопросам повестки дня первого заседания </w:t>
      </w:r>
      <w:r w:rsidR="00A2513D">
        <w:rPr>
          <w:rFonts w:ascii="Times New Roman" w:hAnsi="Times New Roman"/>
          <w:sz w:val="28"/>
        </w:rPr>
        <w:t>Представительного Собрания Бабаевского</w:t>
      </w:r>
      <w:r>
        <w:rPr>
          <w:rFonts w:ascii="Times New Roman" w:hAnsi="Times New Roman"/>
          <w:sz w:val="28"/>
        </w:rPr>
        <w:t xml:space="preserve"> муниципального округа </w:t>
      </w:r>
      <w:r w:rsidR="004B5F7C">
        <w:rPr>
          <w:rFonts w:ascii="Times New Roman" w:hAnsi="Times New Roman"/>
          <w:sz w:val="28"/>
        </w:rPr>
        <w:t xml:space="preserve">Вологодской области </w:t>
      </w:r>
      <w:r>
        <w:rPr>
          <w:rFonts w:ascii="Times New Roman" w:hAnsi="Times New Roman"/>
          <w:sz w:val="28"/>
        </w:rPr>
        <w:t xml:space="preserve">принимаются путем открытого голосования большинством голосов от установленной численности депутатов </w:t>
      </w:r>
      <w:r w:rsidR="00A2513D">
        <w:rPr>
          <w:rFonts w:ascii="Times New Roman" w:hAnsi="Times New Roman"/>
          <w:sz w:val="28"/>
        </w:rPr>
        <w:t>Представительного Собрания Бабаевского</w:t>
      </w:r>
      <w:r>
        <w:rPr>
          <w:rFonts w:ascii="Times New Roman" w:hAnsi="Times New Roman"/>
          <w:sz w:val="28"/>
        </w:rPr>
        <w:t xml:space="preserve"> муниципального округа</w:t>
      </w:r>
      <w:r w:rsidR="004B5F7C">
        <w:rPr>
          <w:rFonts w:ascii="Times New Roman" w:hAnsi="Times New Roman"/>
          <w:sz w:val="28"/>
        </w:rPr>
        <w:t xml:space="preserve"> Вологодской области</w:t>
      </w:r>
      <w:r>
        <w:rPr>
          <w:rFonts w:ascii="Times New Roman" w:hAnsi="Times New Roman"/>
          <w:sz w:val="28"/>
        </w:rPr>
        <w:t>.</w:t>
      </w:r>
    </w:p>
    <w:p w:rsidR="00917AD6" w:rsidRDefault="004C57F2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с момента его принятия.</w:t>
      </w:r>
    </w:p>
    <w:p w:rsidR="00917AD6" w:rsidRDefault="00917AD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17AD6" w:rsidRDefault="00917AD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17AD6" w:rsidRDefault="004C57F2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Председательствующий</w:t>
      </w:r>
      <w:r w:rsidR="00487050">
        <w:rPr>
          <w:rFonts w:ascii="Times New Roman" w:hAnsi="Times New Roman"/>
          <w:sz w:val="28"/>
        </w:rPr>
        <w:t xml:space="preserve">                                                            </w:t>
      </w:r>
      <w:proofErr w:type="spellStart"/>
      <w:r w:rsidR="00487050">
        <w:rPr>
          <w:rFonts w:ascii="Times New Roman" w:hAnsi="Times New Roman"/>
          <w:sz w:val="28"/>
        </w:rPr>
        <w:t>Н.В.Захаренкова</w:t>
      </w:r>
      <w:bookmarkStart w:id="0" w:name="_GoBack"/>
      <w:bookmarkEnd w:id="0"/>
      <w:proofErr w:type="spellEnd"/>
    </w:p>
    <w:p w:rsidR="00917AD6" w:rsidRDefault="00917AD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17AD6" w:rsidRDefault="004C57F2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917AD6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AD6"/>
    <w:rsid w:val="000A2CD1"/>
    <w:rsid w:val="00466DFB"/>
    <w:rsid w:val="00487050"/>
    <w:rsid w:val="004B5F7C"/>
    <w:rsid w:val="004C57F2"/>
    <w:rsid w:val="005D124C"/>
    <w:rsid w:val="007C2AEC"/>
    <w:rsid w:val="00917AD6"/>
    <w:rsid w:val="00A2513D"/>
    <w:rsid w:val="00E350AB"/>
    <w:rsid w:val="00F6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2022-09-19T06:23:00Z</cp:lastPrinted>
  <dcterms:created xsi:type="dcterms:W3CDTF">2022-08-16T12:26:00Z</dcterms:created>
  <dcterms:modified xsi:type="dcterms:W3CDTF">2022-09-19T06:23:00Z</dcterms:modified>
</cp:coreProperties>
</file>