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4728"/>
      </w:tblGrid>
      <w:tr w:rsidR="001167D3" w:rsidRPr="00C17D0F" w:rsidTr="00364B86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67D3" w:rsidRPr="00EC4F3F" w:rsidRDefault="001167D3" w:rsidP="00364B86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2</w:t>
            </w: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447EF5" w:rsidRPr="00BE4D3A" w:rsidRDefault="00E2269E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26</w:t>
            </w:r>
            <w:r w:rsidR="00447E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.01.2021 года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47E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7EF5" w:rsidRDefault="00447EF5" w:rsidP="00364B8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167D3" w:rsidRPr="00A7578E" w:rsidRDefault="00A7578E" w:rsidP="00A757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 к Программе</w:t>
            </w:r>
          </w:p>
        </w:tc>
      </w:tr>
    </w:tbl>
    <w:p w:rsidR="001167D3" w:rsidRPr="00846115" w:rsidRDefault="001167D3" w:rsidP="001167D3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46115">
        <w:rPr>
          <w:rFonts w:ascii="Times New Roman" w:hAnsi="Times New Roman"/>
          <w:b/>
          <w:caps/>
          <w:sz w:val="24"/>
          <w:szCs w:val="24"/>
        </w:rPr>
        <w:t>Сведения  О ЦЕЛЕВЫХ ПОКАЗАТЕЛЯХ ПРОГРАММЫ</w:t>
      </w:r>
    </w:p>
    <w:tbl>
      <w:tblPr>
        <w:tblpPr w:leftFromText="180" w:rightFromText="180" w:vertAnchor="text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00"/>
        <w:gridCol w:w="3296"/>
        <w:gridCol w:w="1680"/>
        <w:gridCol w:w="43"/>
        <w:gridCol w:w="21"/>
        <w:gridCol w:w="1011"/>
        <w:gridCol w:w="1275"/>
        <w:gridCol w:w="1134"/>
        <w:gridCol w:w="142"/>
        <w:gridCol w:w="992"/>
        <w:gridCol w:w="1134"/>
        <w:gridCol w:w="1134"/>
        <w:gridCol w:w="738"/>
      </w:tblGrid>
      <w:tr w:rsidR="00D24384" w:rsidRPr="005B3C88" w:rsidTr="00364B86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Задача, направленная</w:t>
            </w:r>
          </w:p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5B3C88"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7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D24384" w:rsidRPr="005B3C88" w:rsidTr="00364B86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отчетное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оценочное</w:t>
            </w:r>
          </w:p>
        </w:tc>
        <w:tc>
          <w:tcPr>
            <w:tcW w:w="5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  <w:p w:rsidR="00D24384" w:rsidRPr="005B3C88" w:rsidRDefault="00D24384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24384" w:rsidRPr="005B3C88" w:rsidTr="00364B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88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D24384" w:rsidRPr="005B3C88" w:rsidTr="00D24384">
        <w:trPr>
          <w:trHeight w:val="2118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обеспечение доступности дошкольного образования независимо от социального и имущественного статуса и состояния здоровья, положения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rPr>
          <w:trHeight w:val="1608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обеспечение высокого качества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услуг дошкольного образования в соответствии с ФГОС дошкольного образования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удельный вес численности воспитанников дошкольных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825F4F"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 w:rsidRPr="00825F4F"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825F4F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825F4F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825F4F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доля детей – инвалидов в возрасте от 1,5 до 7 лет, охваченных дошкольным образованием, в общей численности детей–инвалидов такого возраста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24384" w:rsidRPr="005B3C88" w:rsidTr="00364B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88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общего образования»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обеспечение достижения обучающимися образовательных организаций новых образовательных результатов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обучающихся образовательных организаций, охваченных образовательными программами, соответствующими ФГОС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обеспечение равного доступа к качественному образованию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доля обучающихся начальных классов общеобразовательных организаций, обеспеченных </w:t>
            </w:r>
            <w:proofErr w:type="spellStart"/>
            <w:r w:rsidRPr="005B3C88">
              <w:rPr>
                <w:rFonts w:ascii="Times New Roman" w:hAnsi="Times New Roman"/>
                <w:sz w:val="24"/>
                <w:szCs w:val="24"/>
              </w:rPr>
              <w:t>световозвращающими</w:t>
            </w:r>
            <w:proofErr w:type="spellEnd"/>
            <w:r w:rsidRPr="005B3C88">
              <w:rPr>
                <w:rFonts w:ascii="Times New Roman" w:hAnsi="Times New Roman"/>
                <w:sz w:val="24"/>
                <w:szCs w:val="24"/>
              </w:rPr>
              <w:t xml:space="preserve"> приспособлениями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 xml:space="preserve">доля выпускников-инвалидов 9 и 11 классов, охваченных </w:t>
            </w:r>
            <w:proofErr w:type="spellStart"/>
            <w:r w:rsidRPr="00825F4F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825F4F">
              <w:rPr>
                <w:rFonts w:ascii="Times New Roman" w:hAnsi="Times New Roman"/>
                <w:sz w:val="24"/>
                <w:szCs w:val="24"/>
              </w:rPr>
              <w:t xml:space="preserve"> работой, в общей </w:t>
            </w:r>
            <w:r w:rsidRPr="00825F4F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выпускников-инвалидов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825F4F"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 w:rsidRPr="00825F4F"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825F4F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4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4" w:rsidRPr="000621A0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D24384" w:rsidRPr="00A36528" w:rsidRDefault="00D24384" w:rsidP="00D24384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 xml:space="preserve">санитарно-эпидемиологических требований в условиях распространения новой </w:t>
            </w:r>
            <w:proofErr w:type="spellStart"/>
            <w:r w:rsidRPr="000621A0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0621A0"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A36528" w:rsidRDefault="00D24384" w:rsidP="00D24384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созданы условия для обеспечения образовательного процесса в части нераспространения новой </w:t>
            </w:r>
            <w:proofErr w:type="spellStart"/>
            <w:r w:rsidRPr="000621A0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0621A0"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A3652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A3652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A3652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A3652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0621A0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364B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88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</w:tr>
      <w:tr w:rsidR="00D24384" w:rsidRPr="005B3C88" w:rsidTr="00D24384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расширение потенциала системы дополнительного образования детей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C88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  <w:p w:rsidR="00D24384" w:rsidRPr="005B3C88" w:rsidRDefault="00D24384" w:rsidP="00D243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384" w:rsidRPr="005B3C88" w:rsidRDefault="00D24384" w:rsidP="00D243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725B15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725B15">
              <w:rPr>
                <w:rFonts w:ascii="Times New Roman" w:hAnsi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C8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725B15" w:rsidRDefault="00D24384" w:rsidP="00D24384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B15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C8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создание условий для развития молодых талантов и детей с мотивацией к обучению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364B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88">
              <w:rPr>
                <w:rFonts w:ascii="Times New Roman" w:hAnsi="Times New Roman"/>
                <w:b/>
                <w:sz w:val="24"/>
                <w:szCs w:val="24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финансовое сопровождение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управления образования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выполненных мероприятий годового плана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работы управления образования администрации Бабаевского муниципального района</w:t>
            </w:r>
          </w:p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финансовое сопровождение реализации Программы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364B8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C88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обеспечение проведения ремонтных работ в образовательных организациях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обеспечение приобретения оборудования и инвентаря в образовательных организациях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повышение уровня пожарной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рисков возникновения пожаров, 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материального ущерба от пожаров в образовательных учреждениях района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уровня антитеррористической защиты образовательных учреждений района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уровня подготовки работников к действиям в условиях чрезвычайных ситуаций природного и техногенного характера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создание условий по организации общего и дошкольного образования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 района, в которых улучшены условия обучения за счёт приобретения мебели и учебно-лабораторного оборудования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>еализация регионального проекта «Цифровая образовательная среда»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825F4F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 xml:space="preserve">доля обучающихся по программам общего образования, дополнительного образования для детей, для которых формируется цифровой образовательный </w:t>
            </w:r>
            <w:r w:rsidRPr="00825F4F">
              <w:rPr>
                <w:rFonts w:ascii="Times New Roman" w:hAnsi="Times New Roman"/>
                <w:sz w:val="24"/>
                <w:szCs w:val="24"/>
              </w:rPr>
              <w:lastRenderedPageBreak/>
              <w:t>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825F4F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общего образования, прошедших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364B8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</w:t>
            </w:r>
            <w:r w:rsidRPr="00CE756B">
              <w:rPr>
                <w:rFonts w:ascii="Times New Roman" w:hAnsi="Times New Roman"/>
                <w:sz w:val="24"/>
                <w:szCs w:val="24"/>
              </w:rPr>
              <w:t xml:space="preserve"> оснащенных в целях внедрения целевой модели цифровой образовательной среды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в отчетном году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</w:tr>
      <w:tr w:rsidR="00D24384" w:rsidRPr="005B3C88" w:rsidTr="00364B8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D24384" w:rsidRDefault="00D24384" w:rsidP="00D24384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24384" w:rsidRPr="005B3C88" w:rsidTr="00364B8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D24384" w:rsidRDefault="00D24384" w:rsidP="00D24384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D24384" w:rsidRDefault="00D24384" w:rsidP="00D24384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доля образовательных организаций, использующих сервисы информационно-сервисной платформы </w:t>
            </w:r>
            <w:r w:rsidRPr="00D2438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цифровой образовательной среды при реализации программ основного общего образования»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24384" w:rsidRPr="005B3C88" w:rsidTr="00D24384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>еализация регионального проекта «Современная школа»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численность человек,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ежемесячно использующих инфраструктуру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общеразвивающих программ цифрового и гуманитарного профилей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8459F6" w:rsidRDefault="00D24384" w:rsidP="00D24384">
            <w:pPr>
              <w:pStyle w:val="ConsPlusNormal"/>
              <w:widowControl/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</w:t>
            </w:r>
            <w:r w:rsidRPr="00D2438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 w:rsidRPr="00D24384">
              <w:rPr>
                <w:rFonts w:eastAsia="Calibri"/>
                <w:sz w:val="24"/>
                <w:szCs w:val="24"/>
                <w:lang w:eastAsia="en-US"/>
              </w:rPr>
              <w:t>общеинтеллектуальной</w:t>
            </w:r>
            <w:proofErr w:type="spellEnd"/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 направленности с использованием средств обучения и воспитания Центра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jc w:val="center"/>
            </w:pPr>
            <w:r w:rsidRPr="000655DD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8459F6" w:rsidRDefault="00D24384" w:rsidP="00D24384">
            <w:pPr>
              <w:pStyle w:val="ConsPlusNormal"/>
              <w:widowControl/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jc w:val="center"/>
            </w:pPr>
            <w:r w:rsidRPr="000655D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9F6">
              <w:rPr>
                <w:rFonts w:ascii="Times New Roman" w:hAnsi="Times New Roman"/>
                <w:sz w:val="24"/>
                <w:szCs w:val="24"/>
              </w:rPr>
              <w:t>доля педагогических работников центра «Точка роста», прошедших обучение по программам из реестра повышения квалификации федерального оператора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84" w:rsidRPr="005B3C88" w:rsidRDefault="00D24384" w:rsidP="00D24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8459F6" w:rsidRDefault="00D24384" w:rsidP="00D24384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организаций,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которых созданы </w:t>
            </w:r>
            <w:r w:rsidRPr="008459F6">
              <w:rPr>
                <w:rFonts w:ascii="Times New Roman" w:hAnsi="Times New Roman"/>
                <w:sz w:val="24"/>
                <w:szCs w:val="24"/>
              </w:rPr>
              <w:t xml:space="preserve">создание и функционируют  центры образования естественно-научной и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технологической направленностей</w:t>
            </w:r>
            <w:r w:rsidRPr="00845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6236A0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6236A0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4384" w:rsidRPr="005B3C88" w:rsidTr="00D24384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651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занятий </w:t>
            </w:r>
            <w:r w:rsidRPr="00573651"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культурой и спортом в общеобразовательных организациях района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365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количество учащихся, занимающихся физической </w:t>
            </w:r>
            <w:r w:rsidRPr="0057365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культурой и спортом во внеурочное время, за исключением дошкольного образования, по уровню начального общего образования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73651">
              <w:rPr>
                <w:rFonts w:ascii="Times New Roman" w:hAnsi="Times New Roman"/>
                <w:sz w:val="24"/>
                <w:szCs w:val="24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73651" w:rsidRDefault="00D24384" w:rsidP="00D24384">
            <w:pPr>
              <w:pStyle w:val="ConsPlusNormal"/>
              <w:widowControl/>
              <w:ind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3651">
              <w:rPr>
                <w:rFonts w:eastAsia="Calibri"/>
                <w:sz w:val="24"/>
                <w:szCs w:val="24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</w:t>
            </w:r>
            <w:r>
              <w:rPr>
                <w:rFonts w:eastAsia="Calibri"/>
                <w:sz w:val="24"/>
                <w:szCs w:val="24"/>
                <w:lang w:eastAsia="en-US"/>
              </w:rPr>
              <w:t>ню среднего общего образования</w:t>
            </w:r>
          </w:p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</w:t>
            </w:r>
            <w:r w:rsidRPr="00573651">
              <w:rPr>
                <w:rFonts w:ascii="Times New Roman" w:hAnsi="Times New Roman"/>
                <w:sz w:val="24"/>
                <w:szCs w:val="24"/>
              </w:rPr>
              <w:t xml:space="preserve"> района, в которо</w:t>
            </w:r>
            <w:r>
              <w:rPr>
                <w:rFonts w:ascii="Times New Roman" w:hAnsi="Times New Roman"/>
                <w:sz w:val="24"/>
                <w:szCs w:val="24"/>
              </w:rPr>
              <w:t>й отремонтирован спортивный зал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84" w:rsidRPr="005B3C88" w:rsidTr="00D24384"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школьных спортивных </w:t>
            </w:r>
            <w:r w:rsidRPr="00573651">
              <w:rPr>
                <w:rFonts w:ascii="Times New Roman" w:hAnsi="Times New Roman"/>
                <w:sz w:val="24"/>
                <w:szCs w:val="24"/>
              </w:rPr>
              <w:t>клуб</w:t>
            </w:r>
            <w:r>
              <w:rPr>
                <w:rFonts w:ascii="Times New Roman" w:hAnsi="Times New Roman"/>
                <w:sz w:val="24"/>
                <w:szCs w:val="24"/>
              </w:rPr>
              <w:t>ов, созданных</w:t>
            </w:r>
            <w:r w:rsidRPr="00573651">
              <w:rPr>
                <w:rFonts w:ascii="Times New Roman" w:hAnsi="Times New Roman"/>
                <w:sz w:val="24"/>
                <w:szCs w:val="24"/>
              </w:rPr>
              <w:t xml:space="preserve"> в общеобразовательной организации района для занятия физической культурой и спортом.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Default="00D24384" w:rsidP="00D24384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4" w:rsidRPr="005B3C88" w:rsidRDefault="00D24384" w:rsidP="00D24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67D3" w:rsidRDefault="001167D3" w:rsidP="001167D3">
      <w:pPr>
        <w:autoSpaceDE w:val="0"/>
        <w:autoSpaceDN w:val="0"/>
        <w:adjustRightInd w:val="0"/>
        <w:jc w:val="both"/>
      </w:pPr>
    </w:p>
    <w:p w:rsidR="00A7578E" w:rsidRDefault="00A7578E" w:rsidP="001167D3">
      <w:pPr>
        <w:autoSpaceDE w:val="0"/>
        <w:autoSpaceDN w:val="0"/>
        <w:adjustRightInd w:val="0"/>
        <w:jc w:val="both"/>
      </w:pPr>
    </w:p>
    <w:p w:rsidR="00A7578E" w:rsidRPr="008527D7" w:rsidRDefault="00A7578E" w:rsidP="001167D3">
      <w:pPr>
        <w:autoSpaceDE w:val="0"/>
        <w:autoSpaceDN w:val="0"/>
        <w:adjustRightInd w:val="0"/>
        <w:jc w:val="both"/>
      </w:pPr>
    </w:p>
    <w:tbl>
      <w:tblPr>
        <w:tblpPr w:leftFromText="180" w:rightFromText="180" w:vertAnchor="text" w:horzAnchor="margin" w:tblpY="238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5400"/>
      </w:tblGrid>
      <w:tr w:rsidR="00CE2B4C" w:rsidRPr="00225D70" w:rsidTr="00CE2B4C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CE2B4C" w:rsidRPr="00225D70" w:rsidRDefault="00CE2B4C" w:rsidP="00CE2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E2269E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3</w:t>
            </w: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CE2B4C" w:rsidRPr="00BE4D3A" w:rsidRDefault="00E2269E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26</w:t>
            </w:r>
            <w:r w:rsidR="00CE2B4C">
              <w:rPr>
                <w:rFonts w:ascii="Times New Roman" w:hAnsi="Times New Roman"/>
                <w:sz w:val="28"/>
                <w:szCs w:val="28"/>
                <w:lang w:eastAsia="ru-RU"/>
              </w:rPr>
              <w:t>.01.2021 года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</w:t>
            </w:r>
            <w:r w:rsidR="00CE2B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CE2B4C" w:rsidRDefault="00CE2B4C" w:rsidP="00CE2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color w:val="000000"/>
                <w:sz w:val="28"/>
                <w:szCs w:val="28"/>
                <w:lang w:eastAsia="ru-RU"/>
              </w:rPr>
            </w:pP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color w:val="000000"/>
                <w:sz w:val="28"/>
                <w:szCs w:val="28"/>
                <w:lang w:eastAsia="ru-RU"/>
              </w:rPr>
              <w:t>Приложение 2 к Программе</w:t>
            </w:r>
          </w:p>
          <w:p w:rsidR="00CE2B4C" w:rsidRPr="00225D70" w:rsidRDefault="00CE2B4C" w:rsidP="00CE2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caps/>
          <w:sz w:val="24"/>
          <w:szCs w:val="24"/>
          <w:lang w:eastAsia="ru-RU"/>
        </w:rPr>
        <w:t>ОСНОВНЫЕ ОЖИДАЕМЫЕ КОНЕЧНЫЕ РЕЗУЛЬТАТЫ РЕАЛИЗАЦИИ ПРОГРАММЫ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940"/>
        <w:gridCol w:w="8575"/>
      </w:tblGrid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4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 на достижение цели</w:t>
            </w:r>
          </w:p>
        </w:tc>
        <w:tc>
          <w:tcPr>
            <w:tcW w:w="857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конечные результаты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5" w:type="dxa"/>
            <w:gridSpan w:val="2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</w:t>
            </w: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Развитие дошкольного образования</w:t>
            </w: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1167D3" w:rsidRPr="00225D70" w:rsidTr="00364B86">
        <w:trPr>
          <w:trHeight w:val="6413"/>
        </w:trPr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дошкольного образования: 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доступности дошкольного образования независимо от социального и имущественного статуса и состояния здоровья, положения;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733747">
              <w:rPr>
                <w:rFonts w:ascii="Times New Roman" w:hAnsi="Times New Roman" w:cs="Arial"/>
                <w:sz w:val="24"/>
                <w:szCs w:val="24"/>
                <w:lang w:eastAsia="ru-RU"/>
              </w:rPr>
              <w:t>-повышение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8575" w:type="dxa"/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доступности дошкольного образования независимо от социального и имущественного статуса и состояния здоровья, положения (увеличение охвата детей дошкольными образовательными организациями (отношение численности детей в возрасте от 2 месяцев до 7 лет, посещающих дошкольные образовательные организации, к общей численности детей в возрасте от 2 месяцев до 7лет)  до 100 % в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году); </w:t>
            </w:r>
            <w:proofErr w:type="gramEnd"/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-увеличение доли детей – инвалидов в возрасте от 1,5 до 7 лет, охваченных дошкольным образованием,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 к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году;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-сохранение  доли детей в возрасте от 5 до 7 лет, получающих услуги по дополнительному образованию, на уровне  70 % до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года;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обеспечение высокого качества услуг дошкольного образования в соответствии с ФГОС дошкольного образования (сохранение удельного веса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образования,  100%,  до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года);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повышение эффективности бюджетных расходов (сохранение среднемесячной заработной платы педагогическим работникам муниципальных дошкольных образовательных организаций к среднемесячной заработной плате в сфере общего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регионе, 100%, до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года);</w:t>
            </w:r>
          </w:p>
          <w:p w:rsidR="001167D3" w:rsidRPr="00733747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F213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20% дошкольных образовательных организаций, в которых создана универсальная </w:t>
            </w:r>
            <w:proofErr w:type="spellStart"/>
            <w:r w:rsidRPr="00F21394"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 w:rsidRPr="00F213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дошкольных образоват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ельных организаций в 2020 году;</w:t>
            </w:r>
          </w:p>
        </w:tc>
      </w:tr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5" w:type="dxa"/>
            <w:gridSpan w:val="2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</w:t>
            </w: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Развитие общего образования</w:t>
            </w: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vMerge w:val="restart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общего образования: 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достижения обучающимися образовательных организаций новых образовательных результатов;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равного доступа к качественному образованию;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1167D3" w:rsidRPr="00CE0D99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CE0D99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организация бесплатного горячего питания обучающихся, получающих начальное общее образование в муниципальных образовательных организациях;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CE0D9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создание условий для обеспечения образовательного процесса в части нераспространения новой </w:t>
            </w:r>
            <w:proofErr w:type="spellStart"/>
            <w:r w:rsidRPr="00CE0D99"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E0D9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инфекции</w:t>
            </w:r>
          </w:p>
        </w:tc>
        <w:tc>
          <w:tcPr>
            <w:tcW w:w="8575" w:type="dxa"/>
            <w:vMerge w:val="restart"/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-обеспечение высокого качества услуг общего образования независимо от социального и имущественного статуса и состояния здоровья, 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положения:  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обеспечить достижение обучающимися образовательных организаций новых образовательных результатов (обеспечение удельного веса численности обучающихся образовательных организаций, охваченных образовательными программами, соответствующими ФГОС общего образования, с 94,2% в 2018 году до 100% в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году);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обеспечить равный доступ к качественному образованию (обеспечение доли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 сохранить 100% с 2018 года по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год);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- повысить качество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(обеспечение доли педагогических и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 с 67% в 2018 году до 100 % в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году);</w:t>
            </w:r>
          </w:p>
          <w:p w:rsidR="001167D3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создать необходимые условия для охраны здоровья обучающихся по обеспечению </w:t>
            </w:r>
            <w:proofErr w:type="spell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световозвращающими</w:t>
            </w:r>
            <w:proofErr w:type="spellEnd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приспособлениями обучающихся 1-х классов общеобразовательных организаций (обеспечение доли обучающихся начальных классов общеобразовательных организаций, обеспеченных </w:t>
            </w:r>
            <w:proofErr w:type="spell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световозвращающими</w:t>
            </w:r>
            <w:proofErr w:type="spellEnd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приспособлениями с 25% в 2018 году до 100% в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году);</w:t>
            </w:r>
          </w:p>
          <w:p w:rsidR="001167D3" w:rsidRPr="00733747" w:rsidRDefault="001167D3" w:rsidP="00364B86">
            <w:pPr>
              <w:pStyle w:val="ConsPlusNormal"/>
              <w:widowControl/>
              <w:ind w:firstLine="75"/>
              <w:jc w:val="both"/>
              <w:rPr>
                <w:rFonts w:eastAsia="Calibri"/>
                <w:sz w:val="24"/>
                <w:szCs w:val="24"/>
              </w:rPr>
            </w:pPr>
            <w:r w:rsidRPr="00733747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обеспечить долю</w:t>
            </w:r>
            <w:r w:rsidRPr="00733747">
              <w:rPr>
                <w:rFonts w:eastAsia="Calibri"/>
                <w:sz w:val="24"/>
                <w:szCs w:val="24"/>
              </w:rPr>
              <w:t xml:space="preserve"> детей 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 – 100%;</w:t>
            </w:r>
          </w:p>
          <w:p w:rsidR="001167D3" w:rsidRPr="00733747" w:rsidRDefault="001167D3" w:rsidP="00364B86">
            <w:pPr>
              <w:pStyle w:val="ConsPlusNormal"/>
              <w:widowControl/>
              <w:ind w:firstLine="75"/>
              <w:jc w:val="both"/>
              <w:rPr>
                <w:rFonts w:eastAsia="Calibri"/>
                <w:sz w:val="24"/>
                <w:szCs w:val="24"/>
              </w:rPr>
            </w:pPr>
            <w:r w:rsidRPr="00733747">
              <w:rPr>
                <w:rFonts w:eastAsia="Calibri"/>
                <w:sz w:val="24"/>
                <w:szCs w:val="24"/>
              </w:rPr>
              <w:t xml:space="preserve">- обеспечить долю выпускников-инвалидов 9 и 11 классов, охваченных </w:t>
            </w:r>
            <w:proofErr w:type="spellStart"/>
            <w:r w:rsidRPr="00733747">
              <w:rPr>
                <w:rFonts w:eastAsia="Calibri"/>
                <w:sz w:val="24"/>
                <w:szCs w:val="24"/>
              </w:rPr>
              <w:t>профориентационной</w:t>
            </w:r>
            <w:proofErr w:type="spellEnd"/>
            <w:r w:rsidRPr="00733747">
              <w:rPr>
                <w:rFonts w:eastAsia="Calibri"/>
                <w:sz w:val="24"/>
                <w:szCs w:val="24"/>
              </w:rPr>
              <w:t xml:space="preserve"> работой, в общей численности выпускников-инвалидов – 100, 0%;</w:t>
            </w:r>
          </w:p>
          <w:p w:rsidR="001167D3" w:rsidRDefault="001167D3" w:rsidP="00364B86">
            <w:pPr>
              <w:pStyle w:val="ConsPlusNormal"/>
              <w:widowControl/>
              <w:ind w:firstLine="75"/>
              <w:jc w:val="both"/>
              <w:rPr>
                <w:rFonts w:eastAsia="Calibri"/>
                <w:sz w:val="24"/>
                <w:szCs w:val="24"/>
              </w:rPr>
            </w:pPr>
            <w:r w:rsidRPr="00733747">
              <w:rPr>
                <w:rFonts w:eastAsia="Calibri"/>
                <w:sz w:val="24"/>
                <w:szCs w:val="24"/>
              </w:rPr>
              <w:t xml:space="preserve">- обеспечить долю общеобразовательных организаций, в которых создана универсальная </w:t>
            </w:r>
            <w:proofErr w:type="spellStart"/>
            <w:r w:rsidRPr="00733747">
              <w:rPr>
                <w:rFonts w:eastAsia="Calibri"/>
                <w:sz w:val="24"/>
                <w:szCs w:val="24"/>
              </w:rPr>
              <w:t>безбарьерная</w:t>
            </w:r>
            <w:proofErr w:type="spellEnd"/>
            <w:r w:rsidRPr="00733747">
              <w:rPr>
                <w:rFonts w:eastAsia="Calibri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 – 22 %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1167D3" w:rsidRDefault="001167D3" w:rsidP="00364B86">
            <w:pPr>
              <w:pStyle w:val="ConsPlusNormal"/>
              <w:widowControl/>
              <w:ind w:firstLine="7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обеспечить</w:t>
            </w:r>
            <w:r w:rsidRPr="00CE0D99">
              <w:rPr>
                <w:rFonts w:eastAsia="Calibri"/>
                <w:sz w:val="24"/>
                <w:szCs w:val="24"/>
              </w:rPr>
              <w:t xml:space="preserve"> организации бесплатного горячего питания обучающихся, получающих начальное общее образование в муниципальных образовательных организациях – 100%;</w:t>
            </w:r>
          </w:p>
          <w:p w:rsidR="001167D3" w:rsidRPr="00733747" w:rsidRDefault="001167D3" w:rsidP="00364B86">
            <w:pPr>
              <w:pStyle w:val="ConsPlusNormal"/>
              <w:widowControl/>
              <w:ind w:firstLine="7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- обеспечить создание условий в </w:t>
            </w:r>
            <w:r w:rsidRPr="00CE0D99">
              <w:rPr>
                <w:rFonts w:eastAsia="Calibri"/>
                <w:sz w:val="24"/>
                <w:szCs w:val="24"/>
              </w:rPr>
              <w:t>общеобразовательных организациях для обеспечения образовательного процесса в части нераспространения новой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– 100%.</w:t>
            </w:r>
          </w:p>
        </w:tc>
      </w:tr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vMerge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8575" w:type="dxa"/>
            <w:vMerge/>
          </w:tcPr>
          <w:p w:rsidR="001167D3" w:rsidRPr="00225D70" w:rsidRDefault="001167D3" w:rsidP="00364B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515" w:type="dxa"/>
            <w:gridSpan w:val="2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</w:t>
            </w: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Развитие дополнительного образования</w:t>
            </w: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1167D3" w:rsidRPr="00225D70" w:rsidTr="00364B86">
        <w:trPr>
          <w:trHeight w:val="5244"/>
        </w:trPr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дополнительного образования: 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расширение потенциала системы дополнительного образования детей;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развития молодых талантов и детей с мотивацией к обучению;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8575" w:type="dxa"/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основных (планируемых) конечных результатов (изменений, отражающих эффект, вызванный реализацией Подпрограммы 3):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для развития молодых талантов и детей с мотивацией к обучению: 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расширить потенциал системы дополнительного образования детей (увеличение доли детей, охваченных образовательными программами дополнительного образования детей, в общей численности детей и молодежи в возрасте 5 - 18 лет с 84 % в 2018 году до 87% в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году);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создать условия для развития молодых талантов и детей с мотивацией к обучению (обеспечение удельного веса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с 58,9 % в 2018 году до 62 % в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году);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повысить эффективность бюджетных расходов (повышение среднемесячной заработной платы педагогов организаций дополнительного образования детей </w:t>
            </w:r>
            <w:proofErr w:type="gram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среднемесячной заработной платы учителей в регионе сохранить  100% с  2018 года до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года).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обеспечить охват детей – инвалидов программами дополнительного образования с 40 % в 2018 году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0 %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2020-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году.</w:t>
            </w:r>
          </w:p>
        </w:tc>
      </w:tr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15" w:type="dxa"/>
            <w:gridSpan w:val="2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</w:t>
            </w: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Обеспечение создания</w:t>
            </w: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 xml:space="preserve"> условий </w:t>
            </w: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 xml:space="preserve">для </w:t>
            </w: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реализации муниципальной программы"</w:t>
            </w:r>
          </w:p>
        </w:tc>
      </w:tr>
      <w:tr w:rsidR="001167D3" w:rsidRPr="00225D70" w:rsidTr="00364B86">
        <w:trPr>
          <w:trHeight w:val="2484"/>
        </w:trPr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Содействие обеспечению условий реализации Программы 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реализации Программы</w:t>
            </w:r>
          </w:p>
        </w:tc>
        <w:tc>
          <w:tcPr>
            <w:tcW w:w="8575" w:type="dxa"/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(сохранение доли выполненных мероприятий годового плана работы</w:t>
            </w:r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образования администрации Бабаевского муниципального района сохранение  100 % с 2018 года по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год);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- финансовое сопровождение реализации Программы (сохранение  удельного веса проведенных мероприятий</w:t>
            </w:r>
            <w:proofErr w:type="gramEnd"/>
          </w:p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 в запланированных на финансовый год мероприятиях  100% с 2018 года по </w:t>
            </w:r>
            <w:r w:rsidR="00D2438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год).</w:t>
            </w:r>
          </w:p>
        </w:tc>
      </w:tr>
      <w:tr w:rsidR="001167D3" w:rsidRPr="00225D70" w:rsidTr="00364B86"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15" w:type="dxa"/>
            <w:gridSpan w:val="2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</w:t>
            </w: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 xml:space="preserve">Развитие </w:t>
            </w: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 xml:space="preserve">материально-технической базы образовательных организаций </w:t>
            </w: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района</w:t>
            </w:r>
            <w:r w:rsidRPr="00225D70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1167D3" w:rsidRPr="00D24384" w:rsidTr="00364B86">
        <w:trPr>
          <w:trHeight w:val="5380"/>
        </w:trPr>
        <w:tc>
          <w:tcPr>
            <w:tcW w:w="648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Развитие материально-технической базы образовательных организаций района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приобретения оборудования и инвентаря в образовательных организациях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Обеспечение комплексной безопасности образовательных учреждений района: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антитеррористической защиты образовательных учреждений района;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техногенного характера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6A31CC"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по организации общего и дошкольного образования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1167D3" w:rsidRPr="002C51AE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проекта «Цифровая образовательная среда»</w:t>
            </w:r>
            <w:r w:rsidRPr="002C51AE"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C51AE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реализация проекта «Современная школа»;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района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8575" w:type="dxa"/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увеличение удельного веса проведенных мероприятий по выполнению ремонтных работ в образовательных организациях в запланированных на финансовый год мероприятиях до 100%;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увеличение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до 100%.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Развитие материально-технической базы образовательных организаций района: 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проведение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2018 года по </w:t>
            </w:r>
            <w:r w:rsidR="00D24384">
              <w:rPr>
                <w:rFonts w:ascii="Times New Roman" w:hAnsi="Times New Roman" w:cs="Arial"/>
                <w:sz w:val="24"/>
                <w:szCs w:val="24"/>
                <w:lang w:eastAsia="ru-RU"/>
              </w:rPr>
              <w:t>2023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год);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приобретение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 100% с 2018 года по </w:t>
            </w:r>
            <w:r w:rsidR="00D24384">
              <w:rPr>
                <w:rFonts w:ascii="Times New Roman" w:hAnsi="Times New Roman" w:cs="Arial"/>
                <w:sz w:val="24"/>
                <w:szCs w:val="24"/>
                <w:lang w:eastAsia="ru-RU"/>
              </w:rPr>
              <w:t>2023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год);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обеспечение количества 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рисков возникновения пожаров,  материального ущерба от пожаров в образовательных учреждениях района</w:t>
            </w: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-  0 единиц;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обеспечение 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количества рисков возникновения террористических угроз в образовательных учреждениях района – 0 единиц;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доли прошедших подготовку руководителей учреждений к действиям в условиях ЧС природного и техногенного характера до 100 %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обеспечить в 2019 году улучшение условий обучения за счёт приобретения мебели и учебно-лабораторного оборудования в 1 образовательной организации.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обеспечить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9%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8%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- обеспечить 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44,44 % общеобразовательных организации, оснащенных в целях внедрения целевой модели цифровой образовательной среды к </w:t>
            </w:r>
            <w:r w:rsidR="00D24384">
              <w:rPr>
                <w:rFonts w:ascii="Times New Roman" w:hAnsi="Times New Roman" w:cs="Arial"/>
                <w:sz w:val="24"/>
                <w:szCs w:val="24"/>
                <w:lang w:eastAsia="ru-RU"/>
              </w:rPr>
              <w:t>2023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10%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в </w:t>
            </w:r>
            <w:r w:rsidR="00D24384">
              <w:rPr>
                <w:rFonts w:ascii="Times New Roman" w:hAnsi="Times New Roman" w:cs="Arial"/>
                <w:sz w:val="24"/>
                <w:szCs w:val="24"/>
                <w:lang w:eastAsia="ru-RU"/>
              </w:rPr>
              <w:t>2023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10% педагогических работников, использующих сервисы федеральной информационно-сервисной платформе цифровой образовательной среды в </w:t>
            </w:r>
            <w:r w:rsidR="00D24384">
              <w:rPr>
                <w:rFonts w:ascii="Times New Roman" w:hAnsi="Times New Roman" w:cs="Arial"/>
                <w:sz w:val="24"/>
                <w:szCs w:val="24"/>
                <w:lang w:eastAsia="ru-RU"/>
              </w:rPr>
              <w:t>2023</w:t>
            </w: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10% образовательных организаций, использующих сервисы информационно-сервисную платформу цифровой образовательной среды при реализации программ основного общего образования»;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1163 обучающихся, осваивающих учебный предмет «Технология» на базе Центров образования цифрового и гуманитарного профилей «Точка роста»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553 обучающихся, осваивающих учебный предмет «Информатика» на базе Центров образования цифрового и гуманитарного профилей «Точка роста»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1108 обучающихся, охваченными дополнительными общеразвивающими программами на базе Центров образования цифрового и гуманитарного профилей «Точка роста»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40 обучающихся, занимающихся шахматами на постоянной основе, на базе Центров образования цифрового и гуманитарного профилей «Точка роста»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 200 человек, ежемесячно использующих инфраструктуру Центров образования цифрового и гуманитарного профилей «Точка роста»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200 человек, ежемесячно вовлеченных в программу социально-культурных компетенций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проведение 10 социокультурных мероприятий на площадке Центров образования цифрового и гуманитарного профилей «Точка роста»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- обеспечить 100% повышение квалификации педагогов по предмету «Технология»,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100 % повышение квалификации иных сотрудников Центров образования цифрового и гуманитарного профилей «Точка роста», в 2020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2 общеобразовательных организации, обновившие материально-техническую базу для реализации основных и дополнительных общеразвивающих программ цифрового и гуманитарного профилей в 2020 году;</w:t>
            </w:r>
          </w:p>
          <w:p w:rsidR="00D24384" w:rsidRPr="00D24384" w:rsidRDefault="001167D3" w:rsidP="00D24384">
            <w:pPr>
              <w:pStyle w:val="ConsPlusNormal"/>
              <w:widowControl/>
              <w:ind w:left="5" w:firstLine="142"/>
              <w:jc w:val="both"/>
              <w:rPr>
                <w:rFonts w:eastAsia="Calibri" w:cs="Arial"/>
                <w:sz w:val="24"/>
                <w:szCs w:val="24"/>
              </w:rPr>
            </w:pPr>
            <w:r w:rsidRPr="00D24384">
              <w:rPr>
                <w:rFonts w:eastAsia="Calibri" w:cs="Arial"/>
                <w:sz w:val="24"/>
                <w:szCs w:val="24"/>
              </w:rPr>
              <w:t xml:space="preserve">- </w:t>
            </w:r>
            <w:r w:rsidR="00D24384" w:rsidRPr="00D24384">
              <w:rPr>
                <w:rFonts w:eastAsia="Calibri" w:cs="Arial"/>
                <w:sz w:val="24"/>
                <w:szCs w:val="24"/>
              </w:rPr>
              <w:t xml:space="preserve">- обеспечить 100% педагогических работников центра «Точка роста», прошедших обучение по программам из реестра повышения квалификации федерального оператора в 2021,2022, 2023 гг.; </w:t>
            </w:r>
          </w:p>
          <w:p w:rsidR="00D24384" w:rsidRPr="00D24384" w:rsidRDefault="00D24384" w:rsidP="00D24384">
            <w:pPr>
              <w:pStyle w:val="ConsPlusNormal"/>
              <w:widowControl/>
              <w:ind w:left="5" w:firstLine="142"/>
              <w:jc w:val="both"/>
              <w:rPr>
                <w:rFonts w:eastAsia="Calibri" w:cs="Arial"/>
                <w:sz w:val="24"/>
                <w:szCs w:val="24"/>
              </w:rPr>
            </w:pPr>
            <w:r w:rsidRPr="00D24384">
              <w:rPr>
                <w:rFonts w:eastAsia="Calibri" w:cs="Arial"/>
                <w:sz w:val="24"/>
                <w:szCs w:val="24"/>
              </w:rPr>
              <w:t xml:space="preserve">- обеспечить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 w:rsidRPr="00D24384">
              <w:rPr>
                <w:rFonts w:eastAsia="Calibri" w:cs="Arial"/>
                <w:sz w:val="24"/>
                <w:szCs w:val="24"/>
              </w:rPr>
              <w:t>общеинтеллектуальной</w:t>
            </w:r>
            <w:proofErr w:type="spellEnd"/>
            <w:r w:rsidRPr="00D24384">
              <w:rPr>
                <w:rFonts w:eastAsia="Calibri" w:cs="Arial"/>
                <w:sz w:val="24"/>
                <w:szCs w:val="24"/>
              </w:rPr>
              <w:t xml:space="preserve"> направленности с использованием средств обучения и воспитания Центра «Точка роста» 583 человека к 2023 году;</w:t>
            </w:r>
          </w:p>
          <w:p w:rsidR="00D24384" w:rsidRPr="00D24384" w:rsidRDefault="00D24384" w:rsidP="00D24384">
            <w:pPr>
              <w:pStyle w:val="ConsPlusNormal"/>
              <w:widowControl/>
              <w:ind w:left="5" w:firstLine="142"/>
              <w:jc w:val="both"/>
              <w:rPr>
                <w:rFonts w:eastAsia="Calibri" w:cs="Arial"/>
                <w:sz w:val="24"/>
                <w:szCs w:val="24"/>
              </w:rPr>
            </w:pPr>
            <w:r w:rsidRPr="00D24384">
              <w:rPr>
                <w:rFonts w:eastAsia="Calibri" w:cs="Arial"/>
                <w:sz w:val="24"/>
                <w:szCs w:val="24"/>
              </w:rPr>
              <w:t>- обеспечить 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 - 240 человек к 2023 году;</w:t>
            </w:r>
          </w:p>
          <w:p w:rsidR="00D24384" w:rsidRPr="00D24384" w:rsidRDefault="00D24384" w:rsidP="00D24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D24384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обеспечить 4 общеобразовательные организации, в которых созданы и функционируют  центры образования </w:t>
            </w:r>
            <w:proofErr w:type="gramStart"/>
            <w:r w:rsidRPr="00D24384">
              <w:rPr>
                <w:rFonts w:ascii="Times New Roman" w:hAnsi="Times New Roman" w:cs="Arial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D24384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 технологической направленностей к 2023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– 100 человек в 2021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2021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2021 году;</w:t>
            </w:r>
          </w:p>
          <w:p w:rsidR="001167D3" w:rsidRPr="0019721F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 общеобразовательную организацию района, в которой отремонтирован спортивный зал;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19721F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обеспечить 1 школьный спортивный клуб, созданный в общеобразовательной организации района для занятия физической культурой и спортом.</w:t>
            </w:r>
          </w:p>
        </w:tc>
      </w:tr>
    </w:tbl>
    <w:p w:rsidR="001167D3" w:rsidRPr="0019721F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5067"/>
      </w:tblGrid>
      <w:tr w:rsidR="001167D3" w:rsidRPr="00225D70" w:rsidTr="00A7578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4</w:t>
            </w: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447EF5" w:rsidRPr="00BE4D3A" w:rsidRDefault="00E2269E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26</w:t>
            </w:r>
            <w:r w:rsidR="00447E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.01.2021 года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47E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1D60F4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3 к Программе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</w:t>
            </w:r>
          </w:p>
          <w:p w:rsidR="001167D3" w:rsidRPr="001D60F4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E2B4C" w:rsidRPr="00146809" w:rsidRDefault="00CE2B4C" w:rsidP="00CE2B4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caps/>
          <w:sz w:val="24"/>
          <w:szCs w:val="24"/>
          <w:lang w:eastAsia="ru-RU"/>
        </w:rPr>
        <w:t>Финансовое обеспечение</w:t>
      </w: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6323"/>
        <w:gridCol w:w="1620"/>
        <w:gridCol w:w="1080"/>
        <w:gridCol w:w="1080"/>
        <w:gridCol w:w="1516"/>
        <w:gridCol w:w="1184"/>
      </w:tblGrid>
      <w:tr w:rsidR="00CE2B4C" w:rsidRPr="00225D70" w:rsidTr="00CE2B4C">
        <w:tc>
          <w:tcPr>
            <w:tcW w:w="2785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6323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480" w:type="dxa"/>
            <w:gridSpan w:val="5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16" w:type="dxa"/>
          </w:tcPr>
          <w:p w:rsid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CE2B4C" w:rsidRPr="00225D70" w:rsidTr="00CE2B4C">
        <w:tc>
          <w:tcPr>
            <w:tcW w:w="2785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E2B4C" w:rsidRPr="00225D70" w:rsidTr="00CE2B4C">
        <w:tc>
          <w:tcPr>
            <w:tcW w:w="2785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                              </w:t>
            </w: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441351,6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448517,9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436875,3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138563,9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144011,5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136849,4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276087,3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276472,5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275294,7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26700,4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28033,9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24731,2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CE2B4C">
        <w:trPr>
          <w:trHeight w:val="420"/>
        </w:trPr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CE2B4C" w:rsidRPr="00225D70" w:rsidTr="00CE2B4C">
        <w:trPr>
          <w:trHeight w:val="179"/>
        </w:trPr>
        <w:tc>
          <w:tcPr>
            <w:tcW w:w="2785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411140,8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438189,3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448517,9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436875,3</w:t>
            </w:r>
          </w:p>
        </w:tc>
      </w:tr>
      <w:tr w:rsidR="00CE2B4C" w:rsidRPr="00225D70" w:rsidTr="00CE2B4C">
        <w:trPr>
          <w:trHeight w:val="202"/>
        </w:trPr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118925,1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135401,6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144011,5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136849,4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280169,2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276087,3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276472,5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275294,7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26700,4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28033,9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24731,2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CE2B4C" w:rsidRPr="00225D70" w:rsidTr="00CE2B4C">
        <w:tc>
          <w:tcPr>
            <w:tcW w:w="2785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Соисполнители, участники - муниципальные учреждения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всего, в том числе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404787,01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438189,3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448517,9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436875,3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114870,3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135401,6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144011,5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136849,4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281470,6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276087,3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276472,5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275294,7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26700,4</w:t>
            </w: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28033,9</w:t>
            </w: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24731,2</w:t>
            </w: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CE2B4C">
        <w:tc>
          <w:tcPr>
            <w:tcW w:w="2785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3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4995"/>
      </w:tblGrid>
      <w:tr w:rsidR="001167D3" w:rsidRPr="00225D70" w:rsidTr="00A7578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CE2B4C" w:rsidRDefault="001167D3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    </w:t>
            </w:r>
            <w:r w:rsidR="00D24384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                          </w:t>
            </w: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447E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5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447EF5" w:rsidRPr="00BE4D3A" w:rsidRDefault="00E2269E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26.01.2021 года № 7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225D70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4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ОБЩАЯ ХАРАКТЕРИСТИКА подПРОгРАММ ПРОГРАММЫ</w:t>
      </w: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940"/>
        <w:gridCol w:w="9000"/>
      </w:tblGrid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мероприятия подпрограмм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дошкольного образования"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дошкольного образования: 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доступности дошкольного образования независимо от социального и имущественного статуса и состояния здоровья, положения;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обеспечению равного доступа к услугам дошкольного образования».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-обеспечение 110 % доступности дошкольного образования;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ведение электронной очереди в  детских садах;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ведение мониторинга  и анализа предписаний надзорных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обеспечения минимизации регулирующих требований к организации дошкольного образования при сохранении качества услуг и безопасности условий их предоставления. 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2 «Мероприятия по обеспечению высокого качества услуг дошкольного образования».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ФГОС дошкольного образования;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образовательных программ в соответствии с ФГОС дошкольного образования;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уточнение порядка формирования муниципального задания для образовательных организаций дошкольного образования, включая показатели качества предоставления услуг по дошкольному образованию.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3 «Мероприятия по обеспечению повышения эффективности бюджетных расходов».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дошкольных образовательных организаций;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оптимизация неэффективных расходов;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4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  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Целью мероприятия является формирование условий доступности приоритетных объектов и услуг в приоритетных сферах жизнедеятельности инвалидов и других МГН.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в 2020 году дошкольной образовательной организации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создание в дошкольной образовательной организации в 2020 году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переоборудование и приспособление раздевалок, спортивных и актовых залов,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</w:t>
            </w:r>
            <w:hyperlink r:id="rId6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СП 136.13330.2012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7" w:history="1">
              <w:r>
                <w:rPr>
                  <w:rStyle w:val="a5"/>
                  <w:rFonts w:ascii="Times New Roman" w:hAnsi="Times New Roman"/>
                  <w:sz w:val="24"/>
                  <w:szCs w:val="24"/>
                </w:rPr>
                <w:t>СП 59.13330.2016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реализации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 умственной отсталостью; оснащение специально оборудованным автотранспортом для перевозки детей-инвалидов); оснащение специальным оборудованием для дистанционного общего и дополнительного образования детей-инвалидов.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общего образования: 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достижения обучающимися образовательных организаций новых образовательных результатов;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равного доступа к качественному образованию;</w:t>
            </w:r>
          </w:p>
          <w:p w:rsidR="001167D3" w:rsidRDefault="001167D3" w:rsidP="00364B8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расходов;</w:t>
            </w:r>
          </w:p>
          <w:p w:rsidR="001167D3" w:rsidRPr="00AE469B" w:rsidRDefault="001167D3" w:rsidP="00364B8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AE469B"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организациях;</w:t>
            </w:r>
          </w:p>
          <w:p w:rsidR="001167D3" w:rsidRPr="00AE469B" w:rsidRDefault="001167D3" w:rsidP="00364B8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AE469B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 w:rsidRPr="00CE0D9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создание условий для обеспечения образовательного процесса в части нераспространения новой </w:t>
            </w:r>
            <w:proofErr w:type="spellStart"/>
            <w:r w:rsidRPr="00CE0D99"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E0D99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инфекции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.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обеспечению высокого качества услуг общего образования».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ФГОС общего образования;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образовательных программ в соответствии с ФГОС общего образования;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профильного образования;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уточнение порядка формирования муниципального задания для общеобразовательных организаций, включая показатели качества предоставления услуг по общему образованию.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2 «Мероприятия по обеспечению равного доступа к услугам общего образования».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организационных, информационно-технологического, методического обеспечения государственной итоговой аттестации;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универсальной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архитектурной образовательной среды в общеобразовательных организациях;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ведение мониторинга  и анализа предписаний надзорных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обеспечения минимизации регулирующих требований к организации общего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образования при сохранении качества услуг и безопасности условий их предоставления. 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3 «Мероприятия по обеспечению повышения эффективности бюджетных расходов».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общеобразовательных организаций;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  <w:p w:rsidR="001167D3" w:rsidRPr="00AE469B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Основное мероприятие 4</w:t>
            </w: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организациях».</w:t>
            </w:r>
          </w:p>
          <w:p w:rsidR="001167D3" w:rsidRPr="00AE469B" w:rsidRDefault="001167D3" w:rsidP="00364B86">
            <w:pPr>
              <w:spacing w:after="0" w:line="240" w:lineRule="auto"/>
              <w:ind w:hanging="60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Целью мероприятия является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      </w:r>
          </w:p>
          <w:p w:rsidR="001167D3" w:rsidRPr="00AE469B" w:rsidRDefault="001167D3" w:rsidP="00364B86">
            <w:pPr>
              <w:spacing w:after="0" w:line="240" w:lineRule="auto"/>
              <w:ind w:hanging="60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245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- предоставление субсидии муниципальным образовательным организациям на обеспечение организации бесплатного горячего питания обучающихся, получающих начальное общее образование в муниципальных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образовательных организациях.</w:t>
            </w:r>
          </w:p>
          <w:p w:rsidR="001167D3" w:rsidRPr="00AE469B" w:rsidRDefault="001167D3" w:rsidP="00364B86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Основное мероприятие 5</w:t>
            </w: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«Мероприятие по соблюдению санитарно-эпидемиологических требований в условиях распространения новой </w:t>
            </w:r>
            <w:proofErr w:type="spellStart"/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инфекции».</w:t>
            </w:r>
          </w:p>
          <w:p w:rsidR="001167D3" w:rsidRPr="00AE469B" w:rsidRDefault="001167D3" w:rsidP="00364B86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Целью мероприятия является создание условий для обеспечения образовательного процесса в части нераспространения новой </w:t>
            </w:r>
            <w:proofErr w:type="spellStart"/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инфекции.</w:t>
            </w:r>
          </w:p>
          <w:p w:rsidR="001167D3" w:rsidRPr="00AE469B" w:rsidRDefault="001167D3" w:rsidP="00364B86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- предоставление субсидии муниципальным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</w:t>
            </w:r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образовательным организациям на реализации мероприятий по соблюдению санитарно-эпидемиологических требований в условиях распространения новой </w:t>
            </w:r>
            <w:proofErr w:type="spellStart"/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AE46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инфекции.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дополнительного образования"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дополнительного образования: 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расширение потенциала системы дополнительного образования детей;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развития молодых талантов и детей с мотивацией к обучению;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- повышение эффективности бюджетных расходов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Основное мероприятие 1 «Мероприятия по обеспечению расширения потенциала системы дополнительного образования детей».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приведение условий организации дополнительного образования детей в соответствие с современными требованиями;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распространение современных моделей организации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детей;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создание условий для использования ресурсов негосударственного сектора в предоставлении услуг дополнительного образования детей, внедрение системы оценки качества дополнительного образования детей.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концепции общенациональной системы выявления и развития молодых талантов;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детских научных обществ;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 детьми мероприятий районного уровня, организация участия детей в региональных и федеральных этапах мероприятий и конкурсов.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3 «Мероприятия по обеспечению повышения эффективности бюджетных расходов».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образовательных учреждений дополнительного образования детей;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"Обеспечение создания условий для реализации муниципальной программы"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Содействие обеспечению условий реализации Программы 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реализации Программы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финансовому обеспечению деятельности».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 (перечисления, отчетность и другое);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мероприятий годового плана работы управления образования администрации Бабаевского муниципального района.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2 «Мероприятия по финансовому обеспечению Программы».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реализации Программы (перечисления, отчетность и другое);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мероприятий Программы.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материально-технической базы образовательных организаций района"</w:t>
            </w:r>
          </w:p>
        </w:tc>
      </w:tr>
      <w:tr w:rsidR="001167D3" w:rsidTr="00364B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Развитие материально-технической базы образовательных организаций района 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приобретения оборудования и инвентаря в образовательных организациях;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антитеррористической защиты образовательных учреждений района;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техногенного характера;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по организации общего и дошкольного образования;</w:t>
            </w:r>
          </w:p>
          <w:p w:rsidR="001167D3" w:rsidRDefault="001167D3" w:rsidP="00364B8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регионального проекта «Цифровая образовательная среда;</w:t>
            </w:r>
          </w:p>
          <w:p w:rsidR="001167D3" w:rsidRDefault="001167D3" w:rsidP="00364B8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регионального проекта «Современная школа»;</w:t>
            </w:r>
          </w:p>
          <w:p w:rsidR="001167D3" w:rsidRDefault="001167D3" w:rsidP="00364B86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73651">
              <w:rPr>
                <w:rFonts w:ascii="Times New Roman" w:hAnsi="Times New Roman"/>
                <w:sz w:val="24"/>
                <w:szCs w:val="24"/>
              </w:rPr>
              <w:t>оздание</w:t>
            </w:r>
            <w:proofErr w:type="spellEnd"/>
            <w:r w:rsidRPr="00573651">
              <w:rPr>
                <w:rFonts w:ascii="Times New Roman" w:hAnsi="Times New Roman"/>
                <w:sz w:val="24"/>
                <w:szCs w:val="24"/>
              </w:rPr>
              <w:t xml:space="preserve"> условий для занятий физической культурой и спортом в общеобразовательных организациях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обеспечению проведения ремонтных работ в образовательных организациях».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анализа потребности в проведении ремонтных работ в образовательных организациях района, составление текущих и перспективных планов;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проведения ремонтных работ в образовательных организациях;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ремонтных работ.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анализа потребности в приобретении оборудования и инвентаря в образовательных организациях, составление текущих и перспективных планов;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приобретения оборудования и инвентаря в образовательных организациях;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приобретений оборудования и инвентаря.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3 «Организационные мероприятия».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осуществления мероприятия предусматривается  проведение совещаний, семинаров с руководителями, с ответственными за вопросы безопасности в образовательных учреждениях, обучение ответственных за пожарную безопасность пожарно-техническому минимуму руководителей образовательных учреждений.</w:t>
            </w:r>
            <w:proofErr w:type="gramEnd"/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4 «Мероприятия по пожарной безопасности в образовательных учреждениях».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В рамках осуществления мероприятия предусматривается финансовое обеспечение противопожарных мероприятий (приобретение и заправка первичных средств пожаротушения, огнезащитная обработка сгораемых конструкций,  проверка сопротивления изоляции электропроводки, молниеотвода,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установка и ремонт систем электроснабжения зданий (электропроводка, электрооборудование, заземление,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ремонт путей эвакуации, проведение испытаний пожарных лестниц, приобретение фильтрующих средств защиты органов дыхания, проверка и ремонт печного отопления, установка и обслуживание систем АПС/СОУЭ, монтаж и обслуживание ПАК «Стрелец-мониторинг» и другие).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5 «Мероприятия по защите от террористических актов».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 финансовое обеспечение антитеррористических мероприятий (оборудование кнопок тревожного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реагирования, услуги по охране и техническое обслуживание кнопок тревожной сигнализации, приобретение, установка и ремонт камер видеонаблюдения, капитальный ремонт ограждения территории образовательных учреждений, установка домофонов и другие).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6 «Мероприятия по созданию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условий по организации общего и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167D3" w:rsidRDefault="001167D3" w:rsidP="00364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 обеспечение в 2019 году улучшение условий обучения за счёт приобретения мебели и учебно-лабораторного оборудования в 1 образовательной организации</w:t>
            </w:r>
          </w:p>
          <w:p w:rsidR="001167D3" w:rsidRPr="009D5575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1167D3" w:rsidRPr="009D5575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>Целью мероприятия является обновление материально-технической базы образовательных организаций общего образования с целью внедрения цифровой образовательной среды.</w:t>
            </w:r>
          </w:p>
          <w:p w:rsidR="001167D3" w:rsidRPr="009D5575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>В рамках осуществления мероприятия предусматривается:</w:t>
            </w:r>
          </w:p>
          <w:p w:rsidR="001167D3" w:rsidRPr="009D5575" w:rsidRDefault="001167D3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 xml:space="preserve">          - формирование цифрового образовательного профиля и индивидуального плана обучения для обучающихся с использованием федеральной информационно-сервисной платформы цифровой образовательной среды;</w:t>
            </w:r>
          </w:p>
          <w:p w:rsidR="001167D3" w:rsidRPr="009D5575" w:rsidRDefault="001167D3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 xml:space="preserve">          - осуществление образовательной детальности с использованием федеральной информационно-сервисной платформы цифровой образовательной среды;</w:t>
            </w:r>
          </w:p>
          <w:p w:rsidR="001167D3" w:rsidRPr="009D5575" w:rsidRDefault="001167D3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 xml:space="preserve">        - использование федеральной информационно-сервисной платформы цифровой образовательной среды для «горизонтального» обучения и неформального образования;</w:t>
            </w:r>
          </w:p>
          <w:p w:rsidR="001167D3" w:rsidRPr="009D5575" w:rsidRDefault="001167D3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 xml:space="preserve">         - повышение квалификации педагогических работников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      </w:r>
          </w:p>
          <w:p w:rsidR="001167D3" w:rsidRPr="009D5575" w:rsidRDefault="001167D3" w:rsidP="00364B8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 w:rsidRPr="009D5575">
              <w:rPr>
                <w:sz w:val="24"/>
                <w:szCs w:val="24"/>
              </w:rPr>
              <w:t xml:space="preserve">        - создание для обучающихся  равных условий получения качественного образования вне зависимости от места нахождения посредством предоставления доступа к федеральной информационно-сервисной платформе цифровой образовательной среды;</w:t>
            </w:r>
          </w:p>
          <w:p w:rsidR="001167D3" w:rsidRPr="009D5575" w:rsidRDefault="001167D3" w:rsidP="00364B8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 w:rsidRPr="009D5575">
              <w:rPr>
                <w:sz w:val="24"/>
                <w:szCs w:val="24"/>
              </w:rPr>
              <w:t>- использование педагогическими работниками сервисов федеральной информационно-сервисной платформы цифровой образовательной среды;</w:t>
            </w:r>
          </w:p>
          <w:p w:rsidR="001167D3" w:rsidRPr="009D5575" w:rsidRDefault="001167D3" w:rsidP="00364B86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 w:rsidRPr="009D5575">
              <w:rPr>
                <w:sz w:val="24"/>
                <w:szCs w:val="24"/>
              </w:rPr>
              <w:t>- использование образовательными организациями сервисов информационно-сервисной платформы цифровой образовательной среды при реализации программ основного общег</w:t>
            </w:r>
            <w:r>
              <w:rPr>
                <w:sz w:val="24"/>
                <w:szCs w:val="24"/>
              </w:rPr>
              <w:t>о образования;</w:t>
            </w:r>
          </w:p>
          <w:p w:rsidR="001167D3" w:rsidRPr="009D5575" w:rsidRDefault="001167D3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 xml:space="preserve">        - предоставление субсидии муниципальным общеобразовательным организациям на обновление материально-технической базы образовательных организаций общего образования с целью внедрения цифровой образовательной </w:t>
            </w:r>
            <w:r w:rsidRPr="009D55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среды. </w:t>
            </w:r>
          </w:p>
          <w:p w:rsidR="001167D3" w:rsidRPr="009D5575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 xml:space="preserve">       Основное мероприятие 8 «Реализация регионального проекта «Современная школа».</w:t>
            </w:r>
          </w:p>
          <w:p w:rsidR="001167D3" w:rsidRPr="009D5575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75">
              <w:rPr>
                <w:rFonts w:ascii="Times New Roman" w:hAnsi="Times New Roman"/>
                <w:sz w:val="24"/>
                <w:szCs w:val="24"/>
              </w:rPr>
              <w:t xml:space="preserve"> Целью мероприятия является: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профилей, обновление материально-технической базы для формирования у обучающихся современных технологических и гуманитарных навыков в 2020 году;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направленностей» в 2021,2023 годах.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В рамках осуществления мероприятия предусматривается в 2020 году: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освоение учебных предметов «Технология», «Основы безопасности жизнедеятельности», «Информатика» на базе Центров образования цифрового и гуманитарного профилей «Точка роста»;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охвата обучающихся, занимающихся дополнительными общеразвивающими программами, шахматами на постоянной основе на базе Центров образования цифрового и гуманитарного профилей «Точка роста»;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ежемесячное использование инфраструктуры Центров образования цифрового и гуманитарного профилей «Точка роста»;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ежемесячное вовлечение в программу социально-культурных компетенций;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на площадке Центров образования цифрового и гуманитарного профилей «Точка роста» социокультурных мероприятий;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квалификации педагогов по предмету «Технология», ежегодно;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квалификации иных сотрудников Центров образования цифрового и гуманитарного профилей «Точка роста», ежегодно;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предоставление субсидии муниципальным общеобразовательным организациям на обновление материально-технической базы для реализации основных и дополнительных общеобразовательных программ цифрового и гуманитарного профилей общеобразовательных организаций на реализацию регионального проекта «Современная школа».</w:t>
            </w:r>
          </w:p>
          <w:p w:rsidR="00364B86" w:rsidRPr="00364B86" w:rsidRDefault="00364B86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осуществления мероприятия предусматривается в 2021,2022, 2023 гг.:</w:t>
            </w:r>
          </w:p>
          <w:p w:rsidR="00364B86" w:rsidRPr="00364B86" w:rsidRDefault="00364B86" w:rsidP="00364B86">
            <w:pPr>
              <w:pStyle w:val="ConsPlusNormal"/>
              <w:widowControl/>
              <w:ind w:left="5" w:firstLine="704"/>
              <w:jc w:val="both"/>
              <w:rPr>
                <w:sz w:val="24"/>
                <w:szCs w:val="24"/>
              </w:rPr>
            </w:pPr>
            <w:r w:rsidRPr="00364B86">
              <w:rPr>
                <w:sz w:val="24"/>
                <w:szCs w:val="24"/>
              </w:rPr>
              <w:t xml:space="preserve">- обеспечение охвата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 w:rsidRPr="00364B86">
              <w:rPr>
                <w:sz w:val="24"/>
                <w:szCs w:val="24"/>
              </w:rPr>
              <w:t>общеинтеллектуальной</w:t>
            </w:r>
            <w:proofErr w:type="spellEnd"/>
            <w:r w:rsidRPr="00364B86">
              <w:rPr>
                <w:sz w:val="24"/>
                <w:szCs w:val="24"/>
              </w:rPr>
              <w:t xml:space="preserve"> направленности с использованием </w:t>
            </w:r>
            <w:r w:rsidRPr="00364B86">
              <w:rPr>
                <w:sz w:val="24"/>
                <w:szCs w:val="24"/>
              </w:rPr>
              <w:lastRenderedPageBreak/>
              <w:t>средств обучения и воспитания Центра «Точка роста»;</w:t>
            </w:r>
          </w:p>
          <w:p w:rsidR="00364B86" w:rsidRPr="00364B86" w:rsidRDefault="00364B86" w:rsidP="00364B86">
            <w:pPr>
              <w:pStyle w:val="ConsPlusNormal"/>
              <w:widowControl/>
              <w:ind w:left="5" w:firstLine="704"/>
              <w:jc w:val="both"/>
              <w:rPr>
                <w:sz w:val="24"/>
                <w:szCs w:val="24"/>
              </w:rPr>
            </w:pPr>
            <w:r w:rsidRPr="00364B86">
              <w:rPr>
                <w:sz w:val="24"/>
                <w:szCs w:val="24"/>
              </w:rPr>
              <w:t>- обеспечение охвата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 - 240 человек к 2023 году;</w:t>
            </w:r>
          </w:p>
          <w:p w:rsidR="00364B86" w:rsidRPr="00364B86" w:rsidRDefault="00364B86" w:rsidP="00364B86">
            <w:pPr>
              <w:spacing w:after="0" w:line="240" w:lineRule="auto"/>
              <w:ind w:firstLine="70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квалификации педагогических работников центра «Точка роста», по программам из реестра повышения квалификации федерального оператора;</w:t>
            </w:r>
          </w:p>
          <w:p w:rsidR="00364B86" w:rsidRPr="00364B86" w:rsidRDefault="00364B86" w:rsidP="00364B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- предоставление субсидии муниципальным общеобразовательным организациям на создание и функционирование центров образования естественно-научной и технологической направленностей.</w:t>
            </w:r>
          </w:p>
          <w:p w:rsidR="001167D3" w:rsidRPr="00364B86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9 «</w:t>
            </w:r>
            <w:r w:rsidRPr="009D55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района</w:t>
            </w: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1167D3" w:rsidRPr="00364B86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Целью мероприятия является:</w:t>
            </w:r>
          </w:p>
          <w:p w:rsidR="001167D3" w:rsidRPr="00364B86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D55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района.</w:t>
            </w:r>
          </w:p>
          <w:p w:rsidR="001167D3" w:rsidRPr="00364B86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В рамках осуществления мероприятия предусматривается:</w:t>
            </w:r>
          </w:p>
          <w:p w:rsidR="001167D3" w:rsidRPr="009D5575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5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условий для занятия физической культурой и спортом во внеурочное время, за исключением дошкольного образования, по уровням начального, основного, среднего общего образования;</w:t>
            </w:r>
          </w:p>
          <w:p w:rsidR="001167D3" w:rsidRPr="009D5575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5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ремонт спортивного зала в общеобразовательной организации; </w:t>
            </w:r>
          </w:p>
          <w:p w:rsidR="001167D3" w:rsidRPr="009D5575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5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школьного спортивного клуба в общеобразовательной организации района для занятия физической культурой и спортом</w:t>
            </w:r>
            <w:r w:rsidRPr="009D557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167D3" w:rsidRPr="00364B86" w:rsidRDefault="001167D3" w:rsidP="00364B8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575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9D5575">
              <w:rPr>
                <w:rFonts w:ascii="Times New Roman" w:hAnsi="Times New Roman"/>
                <w:sz w:val="24"/>
                <w:szCs w:val="24"/>
              </w:rPr>
              <w:t>предоставление субсидии муниципальным общеобразовательным организациям на</w:t>
            </w:r>
            <w:r w:rsidRPr="009D5575"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создание условий для занятий физической культурой и спортом.</w:t>
            </w:r>
          </w:p>
        </w:tc>
      </w:tr>
    </w:tbl>
    <w:p w:rsidR="001167D3" w:rsidRPr="00ED7EC1" w:rsidRDefault="001167D3" w:rsidP="001167D3"/>
    <w:p w:rsidR="001167D3" w:rsidRPr="00673767" w:rsidRDefault="001167D3" w:rsidP="001167D3"/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2269E" w:rsidRDefault="00E2269E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E2269E" w:rsidRPr="00146809" w:rsidRDefault="00E2269E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4472"/>
      </w:tblGrid>
      <w:tr w:rsidR="001167D3" w:rsidRPr="00225D70" w:rsidTr="00A7578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6</w:t>
            </w:r>
          </w:p>
          <w:p w:rsidR="00447EF5" w:rsidRP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</w:t>
            </w:r>
            <w:r w:rsidR="00A757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баевского муниципального района 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от 26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.01.2021 года №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  <w:p w:rsidR="00447EF5" w:rsidRPr="00BE4D3A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1167D3" w:rsidRPr="00225D70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5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Целевые показатели Подпрограммы 1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дошкольного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" </w:t>
      </w: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2400"/>
        <w:gridCol w:w="3296"/>
        <w:gridCol w:w="1564"/>
        <w:gridCol w:w="1440"/>
        <w:gridCol w:w="1260"/>
        <w:gridCol w:w="80"/>
        <w:gridCol w:w="1133"/>
        <w:gridCol w:w="1134"/>
        <w:gridCol w:w="1134"/>
        <w:gridCol w:w="850"/>
        <w:gridCol w:w="992"/>
        <w:gridCol w:w="77"/>
      </w:tblGrid>
      <w:tr w:rsidR="001167D3" w:rsidRPr="00225D70" w:rsidTr="00447EF5">
        <w:tc>
          <w:tcPr>
            <w:tcW w:w="105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364B86" w:rsidRPr="00225D70" w:rsidTr="00447EF5">
        <w:trPr>
          <w:gridAfter w:val="1"/>
          <w:wAfter w:w="72" w:type="dxa"/>
        </w:trPr>
        <w:tc>
          <w:tcPr>
            <w:tcW w:w="588" w:type="dxa"/>
            <w:vMerge w:val="restart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0" w:type="dxa"/>
            <w:vMerge w:val="restart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 достижение цели</w:t>
            </w:r>
          </w:p>
        </w:tc>
        <w:tc>
          <w:tcPr>
            <w:tcW w:w="3296" w:type="dxa"/>
            <w:vMerge w:val="restart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 w:val="restart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</w:p>
        </w:tc>
        <w:tc>
          <w:tcPr>
            <w:tcW w:w="8023" w:type="dxa"/>
            <w:gridSpan w:val="8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364B86" w:rsidRPr="00225D70" w:rsidTr="00447EF5">
        <w:trPr>
          <w:gridAfter w:val="1"/>
          <w:wAfter w:w="72" w:type="dxa"/>
        </w:trPr>
        <w:tc>
          <w:tcPr>
            <w:tcW w:w="588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340" w:type="dxa"/>
            <w:gridSpan w:val="2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5243" w:type="dxa"/>
            <w:gridSpan w:val="5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364B86" w:rsidRPr="00225D70" w:rsidTr="00447EF5">
        <w:trPr>
          <w:gridAfter w:val="1"/>
          <w:wAfter w:w="72" w:type="dxa"/>
        </w:trPr>
        <w:tc>
          <w:tcPr>
            <w:tcW w:w="588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340" w:type="dxa"/>
            <w:gridSpan w:val="2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3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364B86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364B86" w:rsidRPr="00225D70" w:rsidTr="00447EF5">
        <w:trPr>
          <w:gridAfter w:val="1"/>
          <w:wAfter w:w="72" w:type="dxa"/>
        </w:trPr>
        <w:tc>
          <w:tcPr>
            <w:tcW w:w="58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6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0" w:type="dxa"/>
            <w:gridSpan w:val="2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364B86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64B86" w:rsidRPr="00225D70" w:rsidTr="00447EF5">
        <w:trPr>
          <w:gridAfter w:val="1"/>
          <w:wAfter w:w="72" w:type="dxa"/>
          <w:trHeight w:val="2118"/>
        </w:trPr>
        <w:tc>
          <w:tcPr>
            <w:tcW w:w="588" w:type="dxa"/>
            <w:vMerge w:val="restart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vMerge w:val="restart"/>
          </w:tcPr>
          <w:p w:rsidR="00364B86" w:rsidRPr="00225D70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доступности дошкольного образования независимо от социального и имущественного статуса и состояния здоровья, положения</w:t>
            </w:r>
          </w:p>
        </w:tc>
        <w:tc>
          <w:tcPr>
            <w:tcW w:w="3296" w:type="dxa"/>
          </w:tcPr>
          <w:p w:rsidR="00364B86" w:rsidRPr="00225D70" w:rsidRDefault="00364B86" w:rsidP="00364B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</w:tc>
        <w:tc>
          <w:tcPr>
            <w:tcW w:w="156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364B86" w:rsidRPr="00225D70" w:rsidRDefault="00364B86" w:rsidP="00364B86">
            <w:pPr>
              <w:spacing w:after="0" w:line="240" w:lineRule="auto"/>
              <w:ind w:left="-87" w:firstLine="8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340" w:type="dxa"/>
            <w:gridSpan w:val="2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3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64B86" w:rsidRPr="00225D70" w:rsidTr="00447EF5">
        <w:trPr>
          <w:gridAfter w:val="1"/>
          <w:wAfter w:w="72" w:type="dxa"/>
          <w:trHeight w:val="1608"/>
        </w:trPr>
        <w:tc>
          <w:tcPr>
            <w:tcW w:w="588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364B86" w:rsidRPr="00225D70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364B86" w:rsidRPr="00225D70" w:rsidRDefault="00364B86" w:rsidP="00364B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</w:tc>
        <w:tc>
          <w:tcPr>
            <w:tcW w:w="156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340" w:type="dxa"/>
            <w:gridSpan w:val="2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3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64B86" w:rsidRPr="00225D70" w:rsidTr="00447EF5">
        <w:trPr>
          <w:gridAfter w:val="1"/>
          <w:wAfter w:w="72" w:type="dxa"/>
        </w:trPr>
        <w:tc>
          <w:tcPr>
            <w:tcW w:w="58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</w:tcPr>
          <w:p w:rsidR="00364B86" w:rsidRPr="00225D70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высокого качества услуг дошкольного образования в соответствии с 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ФГОС дошкольного образования</w:t>
            </w:r>
          </w:p>
          <w:p w:rsidR="00364B86" w:rsidRPr="00225D70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364B86" w:rsidRPr="00225D70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вес численности воспитанников дошкольных образовательных организаций, охваченных образовательными 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программами, соответствующими ФГОС дошкольного образования</w:t>
            </w:r>
          </w:p>
        </w:tc>
        <w:tc>
          <w:tcPr>
            <w:tcW w:w="156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40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40" w:type="dxa"/>
            <w:gridSpan w:val="2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64B86" w:rsidRPr="00225D70" w:rsidTr="00447EF5">
        <w:trPr>
          <w:gridAfter w:val="1"/>
          <w:wAfter w:w="72" w:type="dxa"/>
        </w:trPr>
        <w:tc>
          <w:tcPr>
            <w:tcW w:w="58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00" w:type="dxa"/>
          </w:tcPr>
          <w:p w:rsidR="00364B86" w:rsidRPr="00225D70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</w:t>
            </w:r>
          </w:p>
        </w:tc>
        <w:tc>
          <w:tcPr>
            <w:tcW w:w="3296" w:type="dxa"/>
          </w:tcPr>
          <w:p w:rsidR="00364B86" w:rsidRPr="00225D70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156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364B86" w:rsidRPr="00225D70" w:rsidRDefault="00364B8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gridSpan w:val="2"/>
          </w:tcPr>
          <w:p w:rsidR="00364B86" w:rsidRPr="00225D70" w:rsidRDefault="00364B8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364B86" w:rsidRPr="00225D70" w:rsidRDefault="00364B8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64B86" w:rsidRPr="00225D70" w:rsidTr="00447EF5">
        <w:trPr>
          <w:gridAfter w:val="1"/>
          <w:wAfter w:w="72" w:type="dxa"/>
        </w:trPr>
        <w:tc>
          <w:tcPr>
            <w:tcW w:w="588" w:type="dxa"/>
            <w:vMerge w:val="restart"/>
          </w:tcPr>
          <w:p w:rsidR="00364B86" w:rsidRPr="00D7415A" w:rsidRDefault="00364B86" w:rsidP="00364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1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  <w:vMerge w:val="restart"/>
          </w:tcPr>
          <w:p w:rsidR="00364B86" w:rsidRPr="004D5634" w:rsidRDefault="00364B86" w:rsidP="00364B86">
            <w:pPr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296" w:type="dxa"/>
          </w:tcPr>
          <w:p w:rsidR="00364B86" w:rsidRPr="004D5634" w:rsidRDefault="00364B86" w:rsidP="00364B86">
            <w:pPr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564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64B86" w:rsidRPr="00225D70" w:rsidTr="00447EF5">
        <w:trPr>
          <w:gridAfter w:val="1"/>
          <w:wAfter w:w="72" w:type="dxa"/>
        </w:trPr>
        <w:tc>
          <w:tcPr>
            <w:tcW w:w="588" w:type="dxa"/>
            <w:vMerge/>
          </w:tcPr>
          <w:p w:rsidR="00364B86" w:rsidRPr="00D7415A" w:rsidRDefault="00364B86" w:rsidP="00364B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364B86" w:rsidRPr="004D5634" w:rsidRDefault="00364B86" w:rsidP="00364B86">
            <w:pPr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364B86" w:rsidRPr="004D5634" w:rsidRDefault="00364B86" w:rsidP="00364B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доля детей – инвалидов в возрасте от 1,5 до 7 лет, охваченных дошкольным образованием, от общей численности детей–инвалидов данного возраста</w:t>
            </w:r>
          </w:p>
        </w:tc>
        <w:tc>
          <w:tcPr>
            <w:tcW w:w="1564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340" w:type="dxa"/>
            <w:gridSpan w:val="2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33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134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</w:tcPr>
          <w:p w:rsidR="00364B86" w:rsidRPr="004D5634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563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1167D3" w:rsidRPr="003F7A74" w:rsidRDefault="001167D3" w:rsidP="001167D3"/>
    <w:p w:rsidR="001167D3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69E" w:rsidRDefault="00E2269E" w:rsidP="00E22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</w:t>
      </w:r>
      <w:r w:rsidR="00447EF5" w:rsidRPr="00BE4D3A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447EF5">
        <w:rPr>
          <w:rFonts w:ascii="Times New Roman" w:hAnsi="Times New Roman"/>
          <w:sz w:val="28"/>
          <w:szCs w:val="28"/>
          <w:lang w:eastAsia="ru-RU"/>
        </w:rPr>
        <w:t>7</w:t>
      </w:r>
      <w:r w:rsidR="00447EF5" w:rsidRPr="00BE4D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7EF5" w:rsidRDefault="00E2269E" w:rsidP="00E22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к </w:t>
      </w:r>
      <w:r w:rsidR="00447EF5">
        <w:rPr>
          <w:rFonts w:ascii="Times New Roman" w:hAnsi="Times New Roman"/>
          <w:sz w:val="28"/>
          <w:szCs w:val="28"/>
          <w:lang w:eastAsia="ru-RU"/>
        </w:rPr>
        <w:t xml:space="preserve">постановлению администрации </w:t>
      </w:r>
    </w:p>
    <w:p w:rsidR="00447EF5" w:rsidRDefault="00447EF5" w:rsidP="00447E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Бабаевского муниципального района</w:t>
      </w:r>
    </w:p>
    <w:p w:rsidR="00447EF5" w:rsidRDefault="00E2269E" w:rsidP="00E22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r w:rsidR="00447EF5">
        <w:rPr>
          <w:rFonts w:ascii="Times New Roman" w:hAnsi="Times New Roman"/>
          <w:sz w:val="28"/>
          <w:szCs w:val="28"/>
          <w:lang w:eastAsia="ru-RU"/>
        </w:rPr>
        <w:t>от 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="00447EF5">
        <w:rPr>
          <w:rFonts w:ascii="Times New Roman" w:hAnsi="Times New Roman"/>
          <w:sz w:val="28"/>
          <w:szCs w:val="28"/>
          <w:lang w:eastAsia="ru-RU"/>
        </w:rPr>
        <w:t>.01.2021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7</w:t>
      </w:r>
      <w:r w:rsidR="00447EF5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447EF5" w:rsidRPr="00BE4D3A" w:rsidRDefault="00447EF5" w:rsidP="00447E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167D3" w:rsidRDefault="00E2269E" w:rsidP="00E22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="001167D3" w:rsidRPr="001D60F4">
        <w:rPr>
          <w:rFonts w:ascii="Times New Roman" w:hAnsi="Times New Roman" w:cs="Calibri"/>
          <w:sz w:val="28"/>
          <w:szCs w:val="28"/>
          <w:lang w:eastAsia="ru-RU"/>
        </w:rPr>
        <w:t>Приложение 6 к Программе</w:t>
      </w:r>
    </w:p>
    <w:p w:rsidR="001167D3" w:rsidRPr="001D60F4" w:rsidRDefault="001167D3" w:rsidP="001167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1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дошкольного образования</w:t>
      </w:r>
      <w:r w:rsidRPr="001D60F4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2160"/>
        <w:gridCol w:w="900"/>
        <w:gridCol w:w="2880"/>
        <w:gridCol w:w="1260"/>
        <w:gridCol w:w="1080"/>
        <w:gridCol w:w="1260"/>
        <w:gridCol w:w="1374"/>
        <w:gridCol w:w="1374"/>
      </w:tblGrid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90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8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348" w:type="dxa"/>
            <w:gridSpan w:val="5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74" w:type="dxa"/>
          </w:tcPr>
          <w:p w:rsid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E2B4C" w:rsidRPr="00225D70" w:rsidTr="00E2269E">
        <w:tc>
          <w:tcPr>
            <w:tcW w:w="1188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60" w:type="dxa"/>
            <w:vMerge w:val="restart"/>
          </w:tcPr>
          <w:p w:rsidR="00CE2B4C" w:rsidRP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CE2B4C" w:rsidRP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CE2B4C" w:rsidRP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CE2B4C" w:rsidRP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CE2B4C" w:rsidRDefault="00CE2B4C" w:rsidP="00E226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«Мероприятия по повышению уровня доступности приоритетных объектов и услуг в приоритетных сферах </w:t>
            </w: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жизнедеятельности инвалидов и других маломобильных групп населения»</w:t>
            </w:r>
          </w:p>
          <w:p w:rsidR="00CE2B4C" w:rsidRP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900" w:type="dxa"/>
            <w:vMerge w:val="restart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158564,7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168530,7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161494,7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44002,8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54038,8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47002,8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114561,9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900" w:type="dxa"/>
            <w:vMerge w:val="restart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158564,7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168530,7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161494,7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44002,8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54038,8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47002,8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114561,9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 w:val="restart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900" w:type="dxa"/>
            <w:vMerge w:val="restart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158564,7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168530,7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161494,7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44002,8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54038,8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47002,8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114561,9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114491,9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80" w:type="dxa"/>
          </w:tcPr>
          <w:p w:rsidR="00CE2B4C" w:rsidRPr="00CE2B4C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2B4C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2B4C" w:rsidRPr="005E7EB0" w:rsidRDefault="00CE2B4C" w:rsidP="00CE2B4C"/>
    <w:p w:rsidR="00CE2B4C" w:rsidRPr="00167B2B" w:rsidRDefault="00CE2B4C" w:rsidP="00CE2B4C"/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9288"/>
        <w:gridCol w:w="1485"/>
        <w:gridCol w:w="4472"/>
      </w:tblGrid>
      <w:tr w:rsidR="001167D3" w:rsidRPr="00225D70" w:rsidTr="00E2269E">
        <w:tc>
          <w:tcPr>
            <w:tcW w:w="10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CE2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CE2B4C" w:rsidRDefault="00CE2B4C" w:rsidP="00CE2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Приложение 8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Pr="00BE4D3A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A7578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.01.2021 года № 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225D70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7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67D3" w:rsidRPr="00225D70" w:rsidTr="00364B86">
        <w:trPr>
          <w:gridBefore w:val="1"/>
          <w:gridAfter w:val="2"/>
          <w:wBefore w:w="108" w:type="dxa"/>
          <w:wAfter w:w="5957" w:type="dxa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Целевые показатели Подпрограммы 2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общего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00"/>
        <w:gridCol w:w="3103"/>
        <w:gridCol w:w="1873"/>
        <w:gridCol w:w="1075"/>
        <w:gridCol w:w="1275"/>
        <w:gridCol w:w="1134"/>
        <w:gridCol w:w="142"/>
        <w:gridCol w:w="992"/>
        <w:gridCol w:w="1134"/>
        <w:gridCol w:w="1134"/>
        <w:gridCol w:w="880"/>
      </w:tblGrid>
      <w:tr w:rsidR="00364B86" w:rsidRPr="009A59DF" w:rsidTr="00364B86">
        <w:tc>
          <w:tcPr>
            <w:tcW w:w="588" w:type="dxa"/>
            <w:vMerge w:val="restart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0" w:type="dxa"/>
            <w:vMerge w:val="restart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Задача, направленная</w:t>
            </w:r>
          </w:p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9A59DF"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7766" w:type="dxa"/>
            <w:gridSpan w:val="8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364B86" w:rsidRPr="009A59DF" w:rsidTr="00364B86">
        <w:tc>
          <w:tcPr>
            <w:tcW w:w="588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отчетное</w:t>
            </w:r>
          </w:p>
        </w:tc>
        <w:tc>
          <w:tcPr>
            <w:tcW w:w="1275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оценочное</w:t>
            </w:r>
          </w:p>
        </w:tc>
        <w:tc>
          <w:tcPr>
            <w:tcW w:w="5416" w:type="dxa"/>
            <w:gridSpan w:val="6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</w:tc>
      </w:tr>
      <w:tr w:rsidR="00364B86" w:rsidRPr="009A59DF" w:rsidTr="00364B86">
        <w:tc>
          <w:tcPr>
            <w:tcW w:w="588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9A59D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0" w:type="dxa"/>
          </w:tcPr>
          <w:p w:rsidR="00364B86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364B86" w:rsidRPr="009A59DF" w:rsidTr="00364B86">
        <w:trPr>
          <w:trHeight w:val="268"/>
        </w:trPr>
        <w:tc>
          <w:tcPr>
            <w:tcW w:w="588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3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3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64B86" w:rsidRPr="009A59DF" w:rsidTr="00364B86">
        <w:tc>
          <w:tcPr>
            <w:tcW w:w="15730" w:type="dxa"/>
            <w:gridSpan w:val="12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9DF"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общего образования»</w:t>
            </w:r>
          </w:p>
        </w:tc>
      </w:tr>
      <w:tr w:rsidR="00364B86" w:rsidRPr="009A59DF" w:rsidTr="00364B86">
        <w:tc>
          <w:tcPr>
            <w:tcW w:w="588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обеспечение достижения обучающимися образовательных организаций новых образовательных результатов</w:t>
            </w:r>
          </w:p>
        </w:tc>
        <w:tc>
          <w:tcPr>
            <w:tcW w:w="310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</w:tc>
        <w:tc>
          <w:tcPr>
            <w:tcW w:w="187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275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4B86" w:rsidRPr="009A59DF" w:rsidTr="00364B86">
        <w:tc>
          <w:tcPr>
            <w:tcW w:w="588" w:type="dxa"/>
            <w:vMerge w:val="restart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vMerge w:val="restart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обеспечение равного доступа к качественному образованию</w:t>
            </w:r>
          </w:p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87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4B86" w:rsidRPr="009A59DF" w:rsidTr="00364B86">
        <w:tc>
          <w:tcPr>
            <w:tcW w:w="588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 xml:space="preserve"> доля педагогических и </w:t>
            </w:r>
            <w:r w:rsidRPr="009A59DF">
              <w:rPr>
                <w:rFonts w:ascii="Times New Roman" w:hAnsi="Times New Roman"/>
                <w:sz w:val="24"/>
                <w:szCs w:val="24"/>
              </w:rPr>
              <w:lastRenderedPageBreak/>
              <w:t>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87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4B86" w:rsidRPr="009A59DF" w:rsidTr="00364B86">
        <w:tc>
          <w:tcPr>
            <w:tcW w:w="588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 xml:space="preserve"> доля обучающихся начальных классов общеобразовательных организаций, обеспеченных </w:t>
            </w:r>
            <w:proofErr w:type="spellStart"/>
            <w:r w:rsidRPr="009A59DF">
              <w:rPr>
                <w:rFonts w:ascii="Times New Roman" w:hAnsi="Times New Roman"/>
                <w:sz w:val="24"/>
                <w:szCs w:val="24"/>
              </w:rPr>
              <w:t>световозвращающими</w:t>
            </w:r>
            <w:proofErr w:type="spellEnd"/>
            <w:r w:rsidRPr="009A59DF">
              <w:rPr>
                <w:rFonts w:ascii="Times New Roman" w:hAnsi="Times New Roman"/>
                <w:sz w:val="24"/>
                <w:szCs w:val="24"/>
              </w:rPr>
              <w:t xml:space="preserve"> приспособлениями</w:t>
            </w:r>
          </w:p>
        </w:tc>
        <w:tc>
          <w:tcPr>
            <w:tcW w:w="187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9A59DF" w:rsidRDefault="00364B86" w:rsidP="00364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4B86" w:rsidRPr="009A59DF" w:rsidTr="00364B86">
        <w:tc>
          <w:tcPr>
            <w:tcW w:w="588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auto"/>
          </w:tcPr>
          <w:p w:rsidR="00364B86" w:rsidRPr="001B3A29" w:rsidRDefault="00364B86" w:rsidP="00364B86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</w:tc>
        <w:tc>
          <w:tcPr>
            <w:tcW w:w="1873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1B3A29" w:rsidRDefault="00364B86" w:rsidP="00364B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4B86" w:rsidRPr="009A59DF" w:rsidTr="00364B86">
        <w:tc>
          <w:tcPr>
            <w:tcW w:w="588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auto"/>
          </w:tcPr>
          <w:p w:rsidR="00364B86" w:rsidRPr="001B3A29" w:rsidRDefault="00364B86" w:rsidP="00364B86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 xml:space="preserve">доля выпускников-инвалидов 9 и 11 классов, охваченных </w:t>
            </w:r>
            <w:proofErr w:type="spellStart"/>
            <w:r w:rsidRPr="001B3A29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1B3A29">
              <w:rPr>
                <w:rFonts w:ascii="Times New Roman" w:hAnsi="Times New Roman"/>
                <w:sz w:val="24"/>
                <w:szCs w:val="24"/>
              </w:rPr>
              <w:t xml:space="preserve"> работой, в общей численности выпускников-инвалидов</w:t>
            </w:r>
          </w:p>
        </w:tc>
        <w:tc>
          <w:tcPr>
            <w:tcW w:w="1873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1B3A29" w:rsidRDefault="00364B86" w:rsidP="00364B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4B86" w:rsidRPr="009A59DF" w:rsidTr="00364B86">
        <w:tc>
          <w:tcPr>
            <w:tcW w:w="588" w:type="dxa"/>
            <w:vMerge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auto"/>
          </w:tcPr>
          <w:p w:rsidR="00364B86" w:rsidRPr="001B3A29" w:rsidRDefault="00364B86" w:rsidP="00364B86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B3A29"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 w:rsidRPr="001B3A29"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873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64B86" w:rsidRPr="001B3A29" w:rsidRDefault="00364B86" w:rsidP="00364B86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1B3A29" w:rsidRDefault="00364B86" w:rsidP="00364B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80" w:type="dxa"/>
          </w:tcPr>
          <w:p w:rsidR="00364B86" w:rsidRPr="001B3A29" w:rsidRDefault="00364B86" w:rsidP="00364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A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64B86" w:rsidRPr="009A59DF" w:rsidTr="00364B86">
        <w:tc>
          <w:tcPr>
            <w:tcW w:w="588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10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873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9A59DF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59D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4B86" w:rsidRPr="009A59DF" w:rsidTr="00364B86">
        <w:tc>
          <w:tcPr>
            <w:tcW w:w="588" w:type="dxa"/>
            <w:shd w:val="clear" w:color="auto" w:fill="auto"/>
          </w:tcPr>
          <w:p w:rsidR="00364B86" w:rsidRPr="009A59DF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364B86" w:rsidRPr="008F0BAB" w:rsidRDefault="00364B8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BAB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03" w:type="dxa"/>
            <w:shd w:val="clear" w:color="auto" w:fill="auto"/>
          </w:tcPr>
          <w:p w:rsidR="00364B86" w:rsidRPr="008F0BAB" w:rsidRDefault="00364B8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BAB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1873" w:type="dxa"/>
            <w:shd w:val="clear" w:color="auto" w:fill="auto"/>
          </w:tcPr>
          <w:p w:rsidR="00364B86" w:rsidRPr="008F0BAB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BA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shd w:val="clear" w:color="auto" w:fill="auto"/>
          </w:tcPr>
          <w:p w:rsidR="00364B86" w:rsidRPr="008F0BAB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64B86" w:rsidRPr="008F0BAB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8F0BAB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4B86" w:rsidRPr="008F0BAB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BA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64B86" w:rsidRPr="008F0BAB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BA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8F0BAB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BA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8F0BAB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BA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4B86" w:rsidRPr="009A59DF" w:rsidTr="00364B86">
        <w:tc>
          <w:tcPr>
            <w:tcW w:w="588" w:type="dxa"/>
            <w:shd w:val="clear" w:color="auto" w:fill="auto"/>
          </w:tcPr>
          <w:p w:rsidR="00364B86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364B86" w:rsidRPr="000621A0" w:rsidRDefault="00364B8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364B86" w:rsidRPr="0063260D" w:rsidRDefault="00364B86" w:rsidP="00364B86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 xml:space="preserve">санитарно-эпидемиологических требований в условиях распространения новой </w:t>
            </w:r>
            <w:proofErr w:type="spellStart"/>
            <w:r w:rsidRPr="000621A0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0621A0"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3103" w:type="dxa"/>
            <w:shd w:val="clear" w:color="auto" w:fill="auto"/>
          </w:tcPr>
          <w:p w:rsidR="00364B86" w:rsidRPr="0063260D" w:rsidRDefault="00364B86" w:rsidP="00364B86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созданы условия для обеспечения образовательного процесса в части нераспространения новой </w:t>
            </w:r>
            <w:proofErr w:type="spellStart"/>
            <w:r w:rsidRPr="000621A0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0621A0"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1873" w:type="dxa"/>
            <w:shd w:val="clear" w:color="auto" w:fill="auto"/>
          </w:tcPr>
          <w:p w:rsidR="00364B86" w:rsidRPr="0063260D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</w:tcPr>
          <w:p w:rsidR="00364B86" w:rsidRPr="0063260D" w:rsidRDefault="00364B86" w:rsidP="00364B8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64B86" w:rsidRPr="0063260D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64B86" w:rsidRPr="0063260D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64B86" w:rsidRPr="000621A0" w:rsidRDefault="00364B86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64B86" w:rsidRPr="000621A0" w:rsidRDefault="00364B86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64B86" w:rsidRPr="000621A0" w:rsidRDefault="00364B86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0" w:type="dxa"/>
          </w:tcPr>
          <w:p w:rsidR="00364B86" w:rsidRPr="000621A0" w:rsidRDefault="00364B86" w:rsidP="00364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1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1167D3" w:rsidRDefault="001167D3" w:rsidP="001167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7EF5" w:rsidRPr="00BE4D3A" w:rsidRDefault="00447EF5" w:rsidP="00447E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167D3" w:rsidRDefault="001167D3" w:rsidP="001167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  <w:gridCol w:w="4472"/>
      </w:tblGrid>
      <w:tr w:rsidR="001167D3" w:rsidRPr="00225D70" w:rsidTr="00E2269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E2269E" w:rsidRDefault="00E2269E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9</w:t>
            </w: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2269E" w:rsidRDefault="00E2269E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1167D3" w:rsidRPr="00E2269E" w:rsidRDefault="00E2269E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Бабаевского муниципального района от 26.01.2021 года № 7 </w:t>
            </w:r>
          </w:p>
          <w:p w:rsidR="001167D3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167D3" w:rsidRPr="00447EF5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7EF5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8 к Программе</w:t>
            </w:r>
          </w:p>
          <w:p w:rsidR="001167D3" w:rsidRPr="001D60F4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2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общего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980"/>
        <w:gridCol w:w="1080"/>
        <w:gridCol w:w="2700"/>
        <w:gridCol w:w="1260"/>
        <w:gridCol w:w="1260"/>
        <w:gridCol w:w="1260"/>
        <w:gridCol w:w="1374"/>
        <w:gridCol w:w="1374"/>
      </w:tblGrid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70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528" w:type="dxa"/>
            <w:gridSpan w:val="5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«Мероприятие по обеспечению организации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  <w:p w:rsidR="00CE2B4C" w:rsidRPr="00606C4B" w:rsidRDefault="00CE2B4C" w:rsidP="00E2269E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«Мероприятие по соблюдению санитарно-эпидемиологических требований в условиях распространения новой </w:t>
            </w:r>
            <w:proofErr w:type="spellStart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>коронавирусной</w:t>
            </w:r>
            <w:proofErr w:type="spellEnd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инфекции».</w:t>
            </w:r>
          </w:p>
          <w:p w:rsidR="00CE2B4C" w:rsidRPr="00A52F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257010,3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256848,0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256487,8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57643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74899,2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74135,1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74081,2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160555,8</w:t>
            </w:r>
          </w:p>
        </w:tc>
        <w:tc>
          <w:tcPr>
            <w:tcW w:w="1374" w:type="dxa"/>
          </w:tcPr>
          <w:p w:rsidR="00CE2B4C" w:rsidRPr="0045302A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160748,1</w:t>
            </w:r>
          </w:p>
        </w:tc>
        <w:tc>
          <w:tcPr>
            <w:tcW w:w="1374" w:type="dxa"/>
          </w:tcPr>
          <w:p w:rsidR="00CE2B4C" w:rsidRPr="0045302A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160377,7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21964,8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-управление образования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257010,3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256848,0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256487,8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57643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74899,2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74135,1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74081,2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160555,8</w:t>
            </w:r>
          </w:p>
        </w:tc>
        <w:tc>
          <w:tcPr>
            <w:tcW w:w="1374" w:type="dxa"/>
          </w:tcPr>
          <w:p w:rsidR="00CE2B4C" w:rsidRPr="0045302A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160748,1</w:t>
            </w:r>
          </w:p>
        </w:tc>
        <w:tc>
          <w:tcPr>
            <w:tcW w:w="1374" w:type="dxa"/>
          </w:tcPr>
          <w:p w:rsidR="00CE2B4C" w:rsidRPr="0045302A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160377,7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21964,8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257010,3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256848,0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256487,8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57643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74899,2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74135,1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74081,2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160555,8</w:t>
            </w:r>
          </w:p>
        </w:tc>
        <w:tc>
          <w:tcPr>
            <w:tcW w:w="1374" w:type="dxa"/>
          </w:tcPr>
          <w:p w:rsidR="00CE2B4C" w:rsidRPr="0045302A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160748,1</w:t>
            </w:r>
          </w:p>
        </w:tc>
        <w:tc>
          <w:tcPr>
            <w:tcW w:w="1374" w:type="dxa"/>
          </w:tcPr>
          <w:p w:rsidR="00CE2B4C" w:rsidRPr="0045302A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160377,7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21964,8</w:t>
            </w: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2B4C" w:rsidRPr="0078362F" w:rsidRDefault="00CE2B4C" w:rsidP="00CE2B4C"/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4472"/>
      </w:tblGrid>
      <w:tr w:rsidR="001167D3" w:rsidRPr="00225D70" w:rsidTr="00E2269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Приложение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.01.2021 года №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  <w:p w:rsidR="00447EF5" w:rsidRPr="00BE4D3A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1167D3" w:rsidRPr="00225D70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9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Целевые показатели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00"/>
        <w:gridCol w:w="3296"/>
        <w:gridCol w:w="1680"/>
        <w:gridCol w:w="1248"/>
        <w:gridCol w:w="1416"/>
        <w:gridCol w:w="991"/>
        <w:gridCol w:w="992"/>
        <w:gridCol w:w="992"/>
        <w:gridCol w:w="993"/>
        <w:gridCol w:w="850"/>
      </w:tblGrid>
      <w:tr w:rsidR="00447736" w:rsidRPr="00225D70" w:rsidTr="00447736">
        <w:tc>
          <w:tcPr>
            <w:tcW w:w="588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0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 достижение цели</w:t>
            </w:r>
          </w:p>
        </w:tc>
        <w:tc>
          <w:tcPr>
            <w:tcW w:w="3296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</w:p>
        </w:tc>
        <w:tc>
          <w:tcPr>
            <w:tcW w:w="7482" w:type="dxa"/>
            <w:gridSpan w:val="7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447736" w:rsidRPr="00225D70" w:rsidTr="00447736">
        <w:tc>
          <w:tcPr>
            <w:tcW w:w="588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41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4818" w:type="dxa"/>
            <w:gridSpan w:val="5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364B86" w:rsidRPr="00225D70" w:rsidTr="00447736">
        <w:tc>
          <w:tcPr>
            <w:tcW w:w="588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16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1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</w:tcPr>
          <w:p w:rsidR="00364B86" w:rsidRPr="00225D70" w:rsidRDefault="00364B8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364B86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364B86" w:rsidRPr="00225D70" w:rsidTr="00447736">
        <w:tc>
          <w:tcPr>
            <w:tcW w:w="58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6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364B86" w:rsidRPr="00225D70" w:rsidRDefault="00364B8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364B86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47736" w:rsidRPr="00225D70" w:rsidTr="00447736">
        <w:tc>
          <w:tcPr>
            <w:tcW w:w="588" w:type="dxa"/>
            <w:vMerge w:val="restart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vMerge w:val="restart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расширение потенциала системы дополнительного образования детей</w:t>
            </w:r>
          </w:p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85,0</w:t>
            </w:r>
          </w:p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5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447736" w:rsidRPr="00225D70" w:rsidTr="00447736">
        <w:tc>
          <w:tcPr>
            <w:tcW w:w="588" w:type="dxa"/>
            <w:vMerge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47736" w:rsidRPr="00225D70" w:rsidTr="00447736">
        <w:tc>
          <w:tcPr>
            <w:tcW w:w="588" w:type="dxa"/>
            <w:vMerge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детей- инвалидов, охваченных системой дополнительного образования</w:t>
            </w:r>
            <w:r w:rsidRPr="00225D70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</w:tcPr>
          <w:p w:rsidR="00447736" w:rsidRDefault="00447736" w:rsidP="00447736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</w:tcPr>
          <w:p w:rsidR="00447736" w:rsidRDefault="00447736" w:rsidP="00447736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:rsidR="00447736" w:rsidRDefault="00447736" w:rsidP="00447736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</w:tcPr>
          <w:p w:rsidR="00447736" w:rsidRDefault="00447736" w:rsidP="00447736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для развития молодых талантов и 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детей с мотивацией к обучению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вес численности обучающихся по программам общего образования, 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5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447736" w:rsidRPr="00225D70" w:rsidRDefault="00447736" w:rsidP="00447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167D3" w:rsidRDefault="001167D3" w:rsidP="001167D3"/>
    <w:p w:rsidR="001167D3" w:rsidRDefault="001167D3" w:rsidP="001167D3"/>
    <w:p w:rsidR="001167D3" w:rsidRDefault="001167D3" w:rsidP="001167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  <w:gridCol w:w="4472"/>
      </w:tblGrid>
      <w:tr w:rsidR="001167D3" w:rsidRPr="00225D70" w:rsidTr="00E2269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447EF5" w:rsidRDefault="00447EF5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Приложение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Pr="00BE4D3A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.01.2021 года № 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225D70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10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lastRenderedPageBreak/>
        <w:t>Финансовое обеспечение реализации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440"/>
        <w:gridCol w:w="1080"/>
        <w:gridCol w:w="3420"/>
        <w:gridCol w:w="1260"/>
        <w:gridCol w:w="1260"/>
        <w:gridCol w:w="1440"/>
        <w:gridCol w:w="1194"/>
        <w:gridCol w:w="1194"/>
      </w:tblGrid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42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348" w:type="dxa"/>
            <w:gridSpan w:val="5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94" w:type="dxa"/>
          </w:tcPr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расширения потенциала системы дополнительного образования детей».</w:t>
            </w: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«Формирование современных управленческих и организационно-экономических механизмов в системе дополнительного образования детей».</w:t>
            </w: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11900,2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собственные доходы бюджета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9717,5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  <w:tc>
          <w:tcPr>
            <w:tcW w:w="119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11900,2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2B4C" w:rsidRPr="00146809" w:rsidRDefault="00CE2B4C" w:rsidP="00CE2B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46809">
        <w:rPr>
          <w:rFonts w:ascii="Times New Roman" w:hAnsi="Times New Roman"/>
          <w:sz w:val="24"/>
          <w:szCs w:val="24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p w:rsidR="00CE2B4C" w:rsidRDefault="00CE2B4C" w:rsidP="00CE2B4C"/>
    <w:p w:rsidR="00CE2B4C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E2B4C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4472"/>
      </w:tblGrid>
      <w:tr w:rsidR="001167D3" w:rsidRPr="00225D70" w:rsidTr="00E2269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E2269E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E2269E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E2269E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E2269E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Приложение 12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47EF5" w:rsidRPr="00BE4D3A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.01.2021 года № 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167D3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225D70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11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Целевые показатели Подпрограммы 4 «</w:t>
      </w:r>
      <w:r w:rsidRPr="001F6030">
        <w:rPr>
          <w:rFonts w:ascii="Times New Roman" w:hAnsi="Times New Roman"/>
          <w:b/>
          <w:sz w:val="24"/>
          <w:szCs w:val="24"/>
          <w:lang w:eastAsia="ru-RU"/>
        </w:rPr>
        <w:t>Обеспечение создания условий  для реализации  муниципальной программы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00"/>
        <w:gridCol w:w="3296"/>
        <w:gridCol w:w="1680"/>
        <w:gridCol w:w="1248"/>
        <w:gridCol w:w="1416"/>
        <w:gridCol w:w="849"/>
        <w:gridCol w:w="992"/>
        <w:gridCol w:w="993"/>
        <w:gridCol w:w="1275"/>
        <w:gridCol w:w="851"/>
      </w:tblGrid>
      <w:tr w:rsidR="00447736" w:rsidRPr="00225D70" w:rsidTr="00E2269E">
        <w:tc>
          <w:tcPr>
            <w:tcW w:w="588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0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 достижение цели</w:t>
            </w:r>
          </w:p>
        </w:tc>
        <w:tc>
          <w:tcPr>
            <w:tcW w:w="3296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</w:p>
        </w:tc>
        <w:tc>
          <w:tcPr>
            <w:tcW w:w="7624" w:type="dxa"/>
            <w:gridSpan w:val="7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447736" w:rsidRPr="00225D70" w:rsidTr="00E2269E">
        <w:tc>
          <w:tcPr>
            <w:tcW w:w="588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41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4960" w:type="dxa"/>
            <w:gridSpan w:val="5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447736" w:rsidRPr="00225D70" w:rsidTr="00447736">
        <w:tc>
          <w:tcPr>
            <w:tcW w:w="588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1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49" w:type="dxa"/>
          </w:tcPr>
          <w:p w:rsidR="00447736" w:rsidRPr="00225D70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</w:tcPr>
          <w:p w:rsidR="00447736" w:rsidRPr="00225D70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</w:tcPr>
          <w:p w:rsidR="00447736" w:rsidRPr="00225D70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</w:tcPr>
          <w:p w:rsidR="00447736" w:rsidRPr="00225D70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</w:tcPr>
          <w:p w:rsidR="00447736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447736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сопровождение деятельности управления образования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доля выполненных мероприятий годового плана работы управления образования администрации Бабаевского муниципального района</w:t>
            </w:r>
          </w:p>
          <w:p w:rsidR="00447736" w:rsidRPr="00225D70" w:rsidRDefault="00447736" w:rsidP="00447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9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сопровождение реализации Программы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9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  <w:gridCol w:w="4472"/>
      </w:tblGrid>
      <w:tr w:rsidR="001167D3" w:rsidRPr="00225D70" w:rsidTr="00E2269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E2269E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  <w:r w:rsidR="007254A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  <w:p w:rsidR="00447EF5" w:rsidRDefault="00E2269E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</w:t>
            </w:r>
            <w:r w:rsidR="00447EF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</w:p>
          <w:p w:rsidR="00447EF5" w:rsidRPr="00BE4D3A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.01.2021 года № 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7EF5" w:rsidRDefault="00447EF5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1D60F4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12 к Программе</w:t>
            </w:r>
          </w:p>
          <w:p w:rsidR="001167D3" w:rsidRPr="001D60F4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4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Создание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условий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обеспечения для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" за счет средств бюджета муниципального образования</w:t>
      </w: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620"/>
        <w:gridCol w:w="1080"/>
        <w:gridCol w:w="3060"/>
        <w:gridCol w:w="1440"/>
        <w:gridCol w:w="1260"/>
        <w:gridCol w:w="1260"/>
        <w:gridCol w:w="1284"/>
        <w:gridCol w:w="1284"/>
      </w:tblGrid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62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0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528" w:type="dxa"/>
            <w:gridSpan w:val="5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84" w:type="dxa"/>
          </w:tcPr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A247E8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47E8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CE2B4C" w:rsidRPr="00234493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CE2B4C" w:rsidRPr="00234493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60" w:type="dxa"/>
          </w:tcPr>
          <w:p w:rsidR="00CE2B4C" w:rsidRPr="00234493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44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69E" w:rsidRDefault="00E2269E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69E" w:rsidRDefault="00E2269E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69E" w:rsidRDefault="00E2269E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69E" w:rsidRDefault="00E2269E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69E" w:rsidRDefault="00E2269E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69E" w:rsidRPr="00146809" w:rsidRDefault="00E2269E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4472"/>
      </w:tblGrid>
      <w:tr w:rsidR="001167D3" w:rsidRPr="00225D70" w:rsidTr="00E2269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E2269E" w:rsidRDefault="007254A0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BE4D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254A0" w:rsidRDefault="007254A0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7254A0" w:rsidRPr="00BE4D3A" w:rsidRDefault="007254A0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7578E">
              <w:rPr>
                <w:rFonts w:ascii="Times New Roman" w:hAnsi="Times New Roman"/>
                <w:sz w:val="28"/>
                <w:szCs w:val="28"/>
                <w:lang w:eastAsia="ru-RU"/>
              </w:rPr>
              <w:t>от 26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.01.2021 года № </w:t>
            </w:r>
            <w:r w:rsidR="00E2269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254A0" w:rsidRDefault="007254A0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225D70" w:rsidRDefault="001167D3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225D70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13 к Программе 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Целевые показатели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</w:t>
      </w: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00"/>
        <w:gridCol w:w="3296"/>
        <w:gridCol w:w="1680"/>
        <w:gridCol w:w="1248"/>
        <w:gridCol w:w="1416"/>
        <w:gridCol w:w="991"/>
        <w:gridCol w:w="992"/>
        <w:gridCol w:w="992"/>
        <w:gridCol w:w="993"/>
        <w:gridCol w:w="993"/>
      </w:tblGrid>
      <w:tr w:rsidR="00447736" w:rsidRPr="00225D70" w:rsidTr="00E2269E">
        <w:tc>
          <w:tcPr>
            <w:tcW w:w="588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0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 достижение цели</w:t>
            </w:r>
          </w:p>
        </w:tc>
        <w:tc>
          <w:tcPr>
            <w:tcW w:w="3296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 w:val="restart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</w:p>
        </w:tc>
        <w:tc>
          <w:tcPr>
            <w:tcW w:w="7625" w:type="dxa"/>
            <w:gridSpan w:val="7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447736" w:rsidRPr="00225D70" w:rsidTr="00E2269E">
        <w:tc>
          <w:tcPr>
            <w:tcW w:w="588" w:type="dxa"/>
            <w:vMerge/>
            <w:vAlign w:val="center"/>
          </w:tcPr>
          <w:p w:rsidR="00447736" w:rsidRPr="00225D70" w:rsidRDefault="0044773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vAlign w:val="center"/>
          </w:tcPr>
          <w:p w:rsidR="00447736" w:rsidRPr="00225D70" w:rsidRDefault="0044773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  <w:vAlign w:val="center"/>
          </w:tcPr>
          <w:p w:rsidR="00447736" w:rsidRPr="00225D70" w:rsidRDefault="0044773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vAlign w:val="center"/>
          </w:tcPr>
          <w:p w:rsidR="00447736" w:rsidRPr="00225D70" w:rsidRDefault="0044773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41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4961" w:type="dxa"/>
            <w:gridSpan w:val="5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447736" w:rsidRPr="00225D70" w:rsidTr="00447736">
        <w:tc>
          <w:tcPr>
            <w:tcW w:w="588" w:type="dxa"/>
            <w:vMerge/>
            <w:vAlign w:val="center"/>
          </w:tcPr>
          <w:p w:rsidR="00447736" w:rsidRPr="00225D70" w:rsidRDefault="0044773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  <w:vAlign w:val="center"/>
          </w:tcPr>
          <w:p w:rsidR="00447736" w:rsidRPr="00225D70" w:rsidRDefault="0044773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  <w:vAlign w:val="center"/>
          </w:tcPr>
          <w:p w:rsidR="00447736" w:rsidRPr="00225D70" w:rsidRDefault="0044773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vAlign w:val="center"/>
          </w:tcPr>
          <w:p w:rsidR="00447736" w:rsidRPr="00225D70" w:rsidRDefault="00447736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1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1" w:type="dxa"/>
          </w:tcPr>
          <w:p w:rsidR="00447736" w:rsidRPr="00225D70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</w:tcPr>
          <w:p w:rsidR="00447736" w:rsidRPr="00225D70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447736" w:rsidRPr="00225D70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</w:tcPr>
          <w:p w:rsidR="00447736" w:rsidRPr="00225D70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3" w:type="dxa"/>
          </w:tcPr>
          <w:p w:rsidR="00447736" w:rsidRDefault="00447736" w:rsidP="00364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447736" w:rsidRPr="00225D70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447736" w:rsidRDefault="00447736" w:rsidP="0036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проведения ремонтных работ в образовательных организациях</w:t>
            </w:r>
          </w:p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приобретения оборудования и инвентаря в образовательных организациях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пожарной безопасности образовательных 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учреждений района,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рисков возникновения пожаров,  материального ущерба от пожаров в образовательных 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учреждениях района</w:t>
            </w:r>
          </w:p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антитеррористической защиты образовательных учреждений района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подготовки работников к действиям в условиях чрезвычайных ситуаций природного и техногенного характера</w:t>
            </w:r>
          </w:p>
        </w:tc>
        <w:tc>
          <w:tcPr>
            <w:tcW w:w="329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680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447736" w:rsidRPr="00225D70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47736" w:rsidRPr="00225D70" w:rsidTr="00447736">
        <w:tc>
          <w:tcPr>
            <w:tcW w:w="588" w:type="dxa"/>
          </w:tcPr>
          <w:p w:rsidR="00447736" w:rsidRPr="00225D70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0" w:type="dxa"/>
          </w:tcPr>
          <w:p w:rsidR="00447736" w:rsidRPr="007D590F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90F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по организации общего и дошкольного образования</w:t>
            </w:r>
          </w:p>
        </w:tc>
        <w:tc>
          <w:tcPr>
            <w:tcW w:w="3296" w:type="dxa"/>
          </w:tcPr>
          <w:p w:rsidR="00447736" w:rsidRPr="007D590F" w:rsidRDefault="00447736" w:rsidP="0044773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90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образовательных организаций района, в которых улучшены условия обучения за счёт приобретения мебели и учебно-лабораторного оборудования</w:t>
            </w:r>
          </w:p>
        </w:tc>
        <w:tc>
          <w:tcPr>
            <w:tcW w:w="1680" w:type="dxa"/>
          </w:tcPr>
          <w:p w:rsidR="00447736" w:rsidRPr="007D590F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90F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48" w:type="dxa"/>
          </w:tcPr>
          <w:p w:rsidR="00447736" w:rsidRPr="007D590F" w:rsidRDefault="00447736" w:rsidP="0044773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47736" w:rsidRPr="007D590F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447736" w:rsidRPr="007D590F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90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47736" w:rsidRPr="007D590F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47736" w:rsidRPr="007D590F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47736" w:rsidRPr="007D590F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47736" w:rsidRPr="007D590F" w:rsidRDefault="00447736" w:rsidP="004477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00"/>
        <w:gridCol w:w="3296"/>
        <w:gridCol w:w="1680"/>
        <w:gridCol w:w="1245"/>
        <w:gridCol w:w="1418"/>
        <w:gridCol w:w="992"/>
        <w:gridCol w:w="992"/>
        <w:gridCol w:w="992"/>
        <w:gridCol w:w="993"/>
        <w:gridCol w:w="992"/>
      </w:tblGrid>
      <w:tr w:rsidR="00447736" w:rsidRPr="005B3C88" w:rsidTr="00447736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447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>еализация регионального проекта «Цифровая образовательная среда»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825F4F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t xml:space="preserve"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</w:t>
            </w:r>
            <w:r w:rsidRPr="00825F4F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825F4F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F4F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общего образования, прошедших повышение квалификации в рамках периодической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</w:t>
            </w:r>
            <w:r w:rsidRPr="00CE756B">
              <w:rPr>
                <w:rFonts w:ascii="Times New Roman" w:hAnsi="Times New Roman"/>
                <w:sz w:val="24"/>
                <w:szCs w:val="24"/>
              </w:rPr>
              <w:t xml:space="preserve"> оснащенных в целях внедрения целевой модели цифровой образовательной среды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в отчетном году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</w:tr>
      <w:tr w:rsidR="00447736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D24384" w:rsidRDefault="00447736" w:rsidP="00E2269E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47736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D24384" w:rsidRDefault="00447736" w:rsidP="00E2269E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образовательной среды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47736" w:rsidTr="00447736"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D24384" w:rsidRDefault="00447736" w:rsidP="00E2269E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доля образовательных организаций, использующих сервисы информационно-сервисной платформы цифровой образовательной среды при реализации </w:t>
            </w:r>
            <w:r w:rsidRPr="00D2438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программ основного общего образования»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47736" w:rsidRPr="005B3C88" w:rsidTr="00447736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>еализация регионального проекта «Современная школа»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 xml:space="preserve">численность человек, ежемесячно использующих инфраструктуру Центров </w:t>
            </w: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общеразвивающих программ цифрового и гуманитарного профилей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8459F6" w:rsidRDefault="00447736" w:rsidP="00E2269E">
            <w:pPr>
              <w:pStyle w:val="ConsPlusNormal"/>
              <w:widowControl/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</w:t>
            </w:r>
            <w:r w:rsidRPr="00D2438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информатика», «Обществознание и естествознание», «Технология и (или) курсы внеурочной детальности </w:t>
            </w:r>
            <w:proofErr w:type="spellStart"/>
            <w:r w:rsidRPr="00D24384">
              <w:rPr>
                <w:rFonts w:eastAsia="Calibri"/>
                <w:sz w:val="24"/>
                <w:szCs w:val="24"/>
                <w:lang w:eastAsia="en-US"/>
              </w:rPr>
              <w:t>общеинтеллектуальной</w:t>
            </w:r>
            <w:proofErr w:type="spellEnd"/>
            <w:r w:rsidRPr="00D24384">
              <w:rPr>
                <w:rFonts w:eastAsia="Calibri"/>
                <w:sz w:val="24"/>
                <w:szCs w:val="24"/>
                <w:lang w:eastAsia="en-US"/>
              </w:rPr>
              <w:t xml:space="preserve"> направленности с использованием средств обучения и воспитания Центра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jc w:val="center"/>
            </w:pPr>
            <w:r w:rsidRPr="000655DD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</w:tr>
      <w:tr w:rsidR="00447736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8459F6" w:rsidRDefault="00447736" w:rsidP="00E2269E">
            <w:pPr>
              <w:pStyle w:val="ConsPlusNormal"/>
              <w:widowControl/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24384">
              <w:rPr>
                <w:rFonts w:eastAsia="Calibri"/>
                <w:sz w:val="24"/>
                <w:szCs w:val="24"/>
                <w:lang w:eastAsia="en-US"/>
              </w:rPr>
              <w:t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jc w:val="center"/>
            </w:pPr>
            <w:r w:rsidRPr="000655D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D24384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D24384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447736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9F6">
              <w:rPr>
                <w:rFonts w:ascii="Times New Roman" w:hAnsi="Times New Roman"/>
                <w:sz w:val="24"/>
                <w:szCs w:val="24"/>
              </w:rPr>
              <w:t>доля педагогических работников центра «Точка роста», прошедших обучение по программам из реестра повышения квалификации федерального оператора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7736" w:rsidTr="00447736"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736" w:rsidRPr="005B3C88" w:rsidRDefault="00447736" w:rsidP="00E22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8459F6" w:rsidRDefault="00447736" w:rsidP="00E2269E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5B3C88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организаций,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которых созданы </w:t>
            </w:r>
            <w:r w:rsidRPr="008459F6">
              <w:rPr>
                <w:rFonts w:ascii="Times New Roman" w:hAnsi="Times New Roman"/>
                <w:sz w:val="24"/>
                <w:szCs w:val="24"/>
              </w:rPr>
              <w:t xml:space="preserve">создание и функционируют  центры образования естественно-научной и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технологической направленностей</w:t>
            </w:r>
            <w:r w:rsidRPr="00845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6236A0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6236A0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47736" w:rsidRPr="005B3C88" w:rsidTr="00447736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651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занятий физической культурой и спортом </w:t>
            </w:r>
            <w:r w:rsidRPr="00573651">
              <w:rPr>
                <w:rFonts w:ascii="Times New Roman" w:hAnsi="Times New Roman"/>
                <w:sz w:val="24"/>
                <w:szCs w:val="24"/>
              </w:rPr>
              <w:lastRenderedPageBreak/>
              <w:t>в общеобразовательных организациях района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365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количество учащихся, занимающихся физической культурой и спортом во внеурочное время, за </w:t>
            </w:r>
            <w:r w:rsidRPr="0057365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исключением дошкольного образования, по уровню начального общего образования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73651">
              <w:rPr>
                <w:rFonts w:ascii="Times New Roman" w:hAnsi="Times New Roman"/>
                <w:sz w:val="24"/>
                <w:szCs w:val="24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73651" w:rsidRDefault="00447736" w:rsidP="00E2269E">
            <w:pPr>
              <w:pStyle w:val="ConsPlusNormal"/>
              <w:widowControl/>
              <w:ind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3651">
              <w:rPr>
                <w:rFonts w:eastAsia="Calibri"/>
                <w:sz w:val="24"/>
                <w:szCs w:val="24"/>
                <w:lang w:eastAsia="en-US"/>
              </w:rPr>
              <w:t>количество учащихся, занимающихся физической культурой и спортом во внеурочное время, за исключением дошкольного образования, по уров</w:t>
            </w:r>
            <w:r>
              <w:rPr>
                <w:rFonts w:eastAsia="Calibri"/>
                <w:sz w:val="24"/>
                <w:szCs w:val="24"/>
                <w:lang w:eastAsia="en-US"/>
              </w:rPr>
              <w:t>ню среднего общего образования</w:t>
            </w:r>
          </w:p>
          <w:p w:rsidR="00447736" w:rsidRPr="005B3C88" w:rsidRDefault="00447736" w:rsidP="00E2269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</w:t>
            </w:r>
            <w:r w:rsidRPr="00573651">
              <w:rPr>
                <w:rFonts w:ascii="Times New Roman" w:hAnsi="Times New Roman"/>
                <w:sz w:val="24"/>
                <w:szCs w:val="24"/>
              </w:rPr>
              <w:t xml:space="preserve"> района, в которо</w:t>
            </w:r>
            <w:r>
              <w:rPr>
                <w:rFonts w:ascii="Times New Roman" w:hAnsi="Times New Roman"/>
                <w:sz w:val="24"/>
                <w:szCs w:val="24"/>
              </w:rPr>
              <w:t>й отремонтирован спортивный зал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736" w:rsidRPr="005B3C88" w:rsidTr="00447736"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школьных спортивных </w:t>
            </w:r>
            <w:r w:rsidRPr="00573651">
              <w:rPr>
                <w:rFonts w:ascii="Times New Roman" w:hAnsi="Times New Roman"/>
                <w:sz w:val="24"/>
                <w:szCs w:val="24"/>
              </w:rPr>
              <w:t>клуб</w:t>
            </w:r>
            <w:r>
              <w:rPr>
                <w:rFonts w:ascii="Times New Roman" w:hAnsi="Times New Roman"/>
                <w:sz w:val="24"/>
                <w:szCs w:val="24"/>
              </w:rPr>
              <w:t>ов, созданных</w:t>
            </w:r>
            <w:r w:rsidRPr="00573651">
              <w:rPr>
                <w:rFonts w:ascii="Times New Roman" w:hAnsi="Times New Roman"/>
                <w:sz w:val="24"/>
                <w:szCs w:val="24"/>
              </w:rPr>
              <w:t xml:space="preserve"> в общеобразовательной организации района для занятия физической культурой и спортом.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Default="00447736" w:rsidP="00E2269E">
            <w:pPr>
              <w:jc w:val="center"/>
            </w:pPr>
            <w:r w:rsidRPr="0062587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36" w:rsidRPr="005B3C88" w:rsidRDefault="00447736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7578E" w:rsidRPr="00146809" w:rsidRDefault="00A7578E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  <w:gridCol w:w="4472"/>
      </w:tblGrid>
      <w:tr w:rsidR="001167D3" w:rsidRPr="00225D70" w:rsidTr="00A7578E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167D3" w:rsidRPr="00225D70" w:rsidRDefault="001167D3" w:rsidP="00364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1167D3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Default="001167D3" w:rsidP="0072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A7578E" w:rsidRDefault="007254A0" w:rsidP="00A7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Приложение 15</w:t>
            </w:r>
          </w:p>
          <w:p w:rsidR="007254A0" w:rsidRDefault="007254A0" w:rsidP="00A7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7254A0" w:rsidRPr="00BE4D3A" w:rsidRDefault="007254A0" w:rsidP="00A7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Бабаевского </w:t>
            </w:r>
            <w:r w:rsidR="00A757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A7578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.01.2021 года № </w:t>
            </w:r>
            <w:r w:rsidR="00A7578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254A0" w:rsidRDefault="007254A0" w:rsidP="00A7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167D3" w:rsidRPr="00225D70" w:rsidRDefault="001167D3" w:rsidP="00A7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14 к Программе</w:t>
            </w:r>
          </w:p>
          <w:p w:rsidR="001167D3" w:rsidRPr="00225D70" w:rsidRDefault="001167D3" w:rsidP="0036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CE2B4C" w:rsidRPr="00146809" w:rsidRDefault="00CE2B4C" w:rsidP="00CE2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260"/>
        <w:gridCol w:w="1260"/>
        <w:gridCol w:w="2880"/>
        <w:gridCol w:w="1260"/>
        <w:gridCol w:w="1260"/>
        <w:gridCol w:w="1260"/>
        <w:gridCol w:w="1554"/>
        <w:gridCol w:w="1554"/>
      </w:tblGrid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26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88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888" w:type="dxa"/>
            <w:gridSpan w:val="5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4" w:type="dxa"/>
          </w:tcPr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CE2B4C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E2B4C" w:rsidRPr="00225D70" w:rsidTr="00E2269E">
        <w:tc>
          <w:tcPr>
            <w:tcW w:w="1188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225D70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CE2B4C" w:rsidRDefault="00CE2B4C" w:rsidP="00E226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CE2B4C" w:rsidRPr="00581EFF" w:rsidRDefault="00CE2B4C" w:rsidP="00E2269E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CE2B4C" w:rsidRPr="00581EFF" w:rsidRDefault="00CE2B4C" w:rsidP="00E2269E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CE2B4C" w:rsidRPr="00581EFF" w:rsidRDefault="00CE2B4C" w:rsidP="00E2269E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6 «Мероприятия по созданию условий по организации 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общего и дошкольного образования.</w:t>
            </w:r>
          </w:p>
          <w:p w:rsidR="00CE2B4C" w:rsidRPr="00581EFF" w:rsidRDefault="00CE2B4C" w:rsidP="00E2269E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CE2B4C" w:rsidRPr="00581EFF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8 «Реализация регионального проекта «Современная школа».</w:t>
            </w:r>
          </w:p>
          <w:p w:rsidR="00CE2B4C" w:rsidRPr="00581EFF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E2B4C" w:rsidRPr="00225D70" w:rsidRDefault="00CE2B4C" w:rsidP="00E226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</w:p>
        </w:tc>
        <w:tc>
          <w:tcPr>
            <w:tcW w:w="12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2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10151,2**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3267,4**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4036,5**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140,0**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1232,5**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125,1**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3002,3**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10151,2**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3267,4**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4036,5**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140,0**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1232,5**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125,1**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3002,3**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10151,2**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3267,4**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4036,5**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140,0**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1232,5**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125,1**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3002,3**</w:t>
            </w: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2B4C" w:rsidRPr="00225D70" w:rsidTr="00E2269E">
        <w:tc>
          <w:tcPr>
            <w:tcW w:w="1188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:rsidR="00CE2B4C" w:rsidRPr="00225D70" w:rsidRDefault="00CE2B4C" w:rsidP="00E22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2B4C" w:rsidRPr="0041254E" w:rsidRDefault="00CE2B4C" w:rsidP="00CE2B4C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146809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</w:p>
    <w:p w:rsidR="00CE2B4C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>
        <w:rPr>
          <w:rFonts w:ascii="Times New Roman" w:hAnsi="Times New Roman"/>
          <w:sz w:val="16"/>
          <w:szCs w:val="16"/>
          <w:lang w:eastAsia="ru-RU"/>
        </w:rPr>
        <w:t>сош</w:t>
      </w:r>
      <w:proofErr w:type="spellEnd"/>
      <w:r>
        <w:rPr>
          <w:rFonts w:ascii="Times New Roman" w:hAnsi="Times New Roman"/>
          <w:sz w:val="16"/>
          <w:szCs w:val="16"/>
          <w:lang w:eastAsia="ru-RU"/>
        </w:rPr>
        <w:t xml:space="preserve">  № 65» - 9177,0 тыс. руб. (субсидия- 8740,0 тыс. руб., софинансирование-437,0 тыс. руб.)</w:t>
      </w:r>
    </w:p>
    <w:p w:rsidR="00CE2B4C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годы"-633,3 тыс. руб. (субсидия- 627,0 тыс. руб., софинансирование-6,3 тыс. руб.)</w:t>
      </w:r>
    </w:p>
    <w:p w:rsidR="00CE2B4C" w:rsidRPr="00146809" w:rsidRDefault="00CE2B4C" w:rsidP="00CE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E2B4C" w:rsidRDefault="00CE2B4C" w:rsidP="00CE2B4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.** </w:t>
      </w:r>
      <w:r w:rsidRPr="004462CA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«Цифровая образовательная среда» </w:t>
      </w:r>
      <w:r>
        <w:rPr>
          <w:rFonts w:ascii="Times New Roman" w:hAnsi="Times New Roman"/>
          <w:sz w:val="20"/>
          <w:szCs w:val="20"/>
          <w:lang w:eastAsia="ru-RU"/>
        </w:rPr>
        <w:t>с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: 2020 год   всего-2359,971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D2130A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D2130A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.( фед.бюджет-2168,8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 обл..бюджет-90,4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.,, мест. бюджет-100,771 тыс. 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руб.) 2022 год   всего-4965,238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 xml:space="preserve">.( фед.бюджет-4563,0931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 xml:space="preserve">., обл..бюджет-190,129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>.,, мест. бюджет-212,016 тыс. руб.)</w:t>
      </w:r>
      <w:r>
        <w:rPr>
          <w:rFonts w:ascii="Times New Roman" w:hAnsi="Times New Roman"/>
          <w:sz w:val="20"/>
          <w:szCs w:val="20"/>
          <w:lang w:eastAsia="ru-RU"/>
        </w:rPr>
        <w:t xml:space="preserve">; </w:t>
      </w:r>
      <w:r w:rsidRPr="00221811">
        <w:rPr>
          <w:rFonts w:ascii="Times New Roman" w:hAnsi="Times New Roman"/>
          <w:sz w:val="20"/>
          <w:szCs w:val="20"/>
          <w:lang w:eastAsia="ru-RU"/>
        </w:rPr>
        <w:t>202</w:t>
      </w:r>
      <w:r>
        <w:rPr>
          <w:rFonts w:ascii="Times New Roman" w:hAnsi="Times New Roman"/>
          <w:sz w:val="20"/>
          <w:szCs w:val="20"/>
          <w:lang w:eastAsia="ru-RU"/>
        </w:rPr>
        <w:t>3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 год   всего-</w:t>
      </w:r>
      <w:r>
        <w:rPr>
          <w:rFonts w:ascii="Times New Roman" w:hAnsi="Times New Roman"/>
          <w:sz w:val="20"/>
          <w:szCs w:val="20"/>
          <w:lang w:eastAsia="ru-RU"/>
        </w:rPr>
        <w:t>3266,846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>.( фед.бюджет-</w:t>
      </w:r>
      <w:r>
        <w:rPr>
          <w:rFonts w:ascii="Times New Roman" w:hAnsi="Times New Roman"/>
          <w:sz w:val="20"/>
          <w:szCs w:val="20"/>
          <w:lang w:eastAsia="ru-RU"/>
        </w:rPr>
        <w:t>3002,257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>., обл..бюджет-</w:t>
      </w:r>
      <w:r>
        <w:rPr>
          <w:rFonts w:ascii="Times New Roman" w:hAnsi="Times New Roman"/>
          <w:sz w:val="20"/>
          <w:szCs w:val="20"/>
          <w:lang w:eastAsia="ru-RU"/>
        </w:rPr>
        <w:t>125,094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>.,, мест. бюджет-</w:t>
      </w:r>
      <w:r>
        <w:rPr>
          <w:rFonts w:ascii="Times New Roman" w:hAnsi="Times New Roman"/>
          <w:sz w:val="20"/>
          <w:szCs w:val="20"/>
          <w:lang w:eastAsia="ru-RU"/>
        </w:rPr>
        <w:t>139,495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CE2B4C" w:rsidRPr="00D2130A" w:rsidRDefault="00CE2B4C" w:rsidP="00CE2B4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E2B4C" w:rsidRPr="00E01ECD" w:rsidRDefault="00CE2B4C" w:rsidP="00CE2B4C">
      <w:pPr>
        <w:rPr>
          <w:color w:val="000000"/>
          <w:sz w:val="32"/>
          <w:szCs w:val="32"/>
        </w:rPr>
      </w:pPr>
      <w:r w:rsidRPr="003226E4">
        <w:rPr>
          <w:rFonts w:ascii="Times New Roman" w:hAnsi="Times New Roman"/>
          <w:sz w:val="20"/>
          <w:szCs w:val="20"/>
          <w:lang w:eastAsia="ru-RU"/>
        </w:rPr>
        <w:t>Реализация регионального проекта</w:t>
      </w:r>
      <w:r>
        <w:rPr>
          <w:rFonts w:ascii="Times New Roman" w:hAnsi="Times New Roman"/>
          <w:sz w:val="20"/>
          <w:szCs w:val="20"/>
          <w:lang w:eastAsia="ru-RU"/>
        </w:rPr>
        <w:t xml:space="preserve"> «Современная школа»</w:t>
      </w:r>
      <w:r w:rsidRPr="003226E4">
        <w:rPr>
          <w:rFonts w:ascii="Times New Roman" w:hAnsi="Times New Roman"/>
          <w:sz w:val="20"/>
          <w:szCs w:val="20"/>
          <w:lang w:eastAsia="ru-RU"/>
        </w:rPr>
        <w:t>»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: 2020 год   всего-2234,424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D2130A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D2130A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.( фед.бюджет-2144,8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 обл..бюджет-89,4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>.,, мест. бюджет-0,224 тыс. руб.) 2021 год   всего-</w:t>
      </w:r>
      <w:r w:rsidRPr="00E01ECD">
        <w:rPr>
          <w:rFonts w:ascii="Times New Roman" w:hAnsi="Times New Roman"/>
          <w:sz w:val="20"/>
          <w:szCs w:val="20"/>
          <w:lang w:eastAsia="ru-RU"/>
        </w:rPr>
        <w:t>4706</w:t>
      </w:r>
      <w:r>
        <w:rPr>
          <w:rFonts w:ascii="Times New Roman" w:hAnsi="Times New Roman"/>
          <w:sz w:val="20"/>
          <w:szCs w:val="20"/>
          <w:lang w:eastAsia="ru-RU"/>
        </w:rPr>
        <w:t>,678</w:t>
      </w:r>
      <w:r w:rsidRPr="00E01ECD">
        <w:rPr>
          <w:rFonts w:ascii="Times New Roman" w:hAnsi="Times New Roman"/>
          <w:sz w:val="20"/>
          <w:szCs w:val="20"/>
          <w:lang w:eastAsia="ru-RU"/>
        </w:rPr>
        <w:t>29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тыс.руб.( фед.бюджет-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4517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959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тыс.руб.,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обл.</w:t>
      </w:r>
      <w:r w:rsidRPr="00E01ECD">
        <w:rPr>
          <w:rFonts w:ascii="Times New Roman" w:hAnsi="Times New Roman"/>
          <w:sz w:val="16"/>
          <w:szCs w:val="16"/>
          <w:lang w:eastAsia="ru-RU"/>
        </w:rPr>
        <w:t>бюджет</w:t>
      </w:r>
      <w:proofErr w:type="spellEnd"/>
      <w:r w:rsidRPr="00E01ECD">
        <w:rPr>
          <w:rFonts w:ascii="Times New Roman" w:hAnsi="Times New Roman"/>
          <w:sz w:val="16"/>
          <w:szCs w:val="16"/>
          <w:lang w:eastAsia="ru-RU"/>
        </w:rPr>
        <w:t>—</w:t>
      </w:r>
      <w:r w:rsidRPr="00E01ECD">
        <w:rPr>
          <w:color w:val="000000"/>
          <w:sz w:val="16"/>
          <w:szCs w:val="16"/>
        </w:rPr>
        <w:t>188, 24</w:t>
      </w:r>
      <w:r>
        <w:rPr>
          <w:color w:val="000000"/>
          <w:sz w:val="16"/>
          <w:szCs w:val="16"/>
        </w:rPr>
        <w:t>8</w:t>
      </w:r>
      <w:r w:rsidRPr="00E01ECD">
        <w:rPr>
          <w:color w:val="000000"/>
          <w:sz w:val="16"/>
          <w:szCs w:val="16"/>
        </w:rPr>
        <w:t>29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тыс.руб.,, мест. бюджет-0,</w:t>
      </w:r>
      <w:r w:rsidRPr="00E01ECD">
        <w:rPr>
          <w:rFonts w:ascii="Times New Roman" w:hAnsi="Times New Roman"/>
          <w:sz w:val="20"/>
          <w:szCs w:val="20"/>
          <w:lang w:eastAsia="ru-RU"/>
        </w:rPr>
        <w:t>471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тыс. руб.) 2022 год   всего-</w:t>
      </w:r>
      <w:r w:rsidRPr="00E01ECD">
        <w:rPr>
          <w:rFonts w:ascii="Times New Roman" w:hAnsi="Times New Roman"/>
          <w:sz w:val="20"/>
          <w:szCs w:val="20"/>
          <w:lang w:eastAsia="ru-RU"/>
        </w:rPr>
        <w:t>1568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902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тыс.руб.( фед.бюджет-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1505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995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тыс.руб., обл..бюджет-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62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750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тыс.руб., мест. бюджет-0,</w:t>
      </w:r>
      <w:r w:rsidRPr="00E01ECD">
        <w:rPr>
          <w:rFonts w:ascii="Times New Roman" w:hAnsi="Times New Roman"/>
          <w:sz w:val="20"/>
          <w:szCs w:val="20"/>
          <w:lang w:eastAsia="ru-RU"/>
        </w:rPr>
        <w:t>157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CE2B4C" w:rsidRDefault="00CE2B4C" w:rsidP="00CE2B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01ECD">
        <w:rPr>
          <w:rFonts w:ascii="Times New Roman" w:hAnsi="Times New Roman"/>
          <w:sz w:val="20"/>
          <w:szCs w:val="20"/>
        </w:rPr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 </w:t>
      </w:r>
      <w:r w:rsidRPr="00E01ECD">
        <w:rPr>
          <w:rFonts w:ascii="Times New Roman" w:hAnsi="Times New Roman"/>
          <w:sz w:val="20"/>
          <w:szCs w:val="20"/>
          <w:lang w:eastAsia="ru-RU"/>
        </w:rPr>
        <w:t>: 2021 год   всего-</w:t>
      </w:r>
      <w:r>
        <w:rPr>
          <w:rFonts w:ascii="Times New Roman" w:hAnsi="Times New Roman"/>
          <w:sz w:val="20"/>
          <w:szCs w:val="20"/>
          <w:lang w:eastAsia="ru-RU"/>
        </w:rPr>
        <w:t>816,053</w:t>
      </w:r>
      <w:r w:rsidRPr="00E01ECD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E01ECD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E01ECD">
        <w:rPr>
          <w:rFonts w:ascii="Times New Roman" w:hAnsi="Times New Roman"/>
          <w:sz w:val="20"/>
          <w:szCs w:val="20"/>
          <w:lang w:eastAsia="ru-RU"/>
        </w:rPr>
        <w:t>уб.( фед.бюджет-</w:t>
      </w:r>
      <w:r w:rsidRPr="00E01ECD">
        <w:rPr>
          <w:rFonts w:ascii="Times New Roman" w:hAnsi="Times New Roman"/>
          <w:sz w:val="20"/>
          <w:szCs w:val="20"/>
        </w:rPr>
        <w:t>627,</w:t>
      </w:r>
      <w:r>
        <w:rPr>
          <w:rFonts w:ascii="Times New Roman" w:hAnsi="Times New Roman"/>
          <w:sz w:val="20"/>
          <w:szCs w:val="20"/>
        </w:rPr>
        <w:t>1</w:t>
      </w:r>
      <w:r w:rsidRPr="00E01ECD">
        <w:rPr>
          <w:rFonts w:ascii="Times New Roman" w:hAnsi="Times New Roman"/>
          <w:sz w:val="20"/>
          <w:szCs w:val="20"/>
          <w:lang w:eastAsia="ru-RU"/>
        </w:rPr>
        <w:t>тыс.руб., обл..бюджет-</w:t>
      </w:r>
      <w:r w:rsidRPr="00E01ECD">
        <w:rPr>
          <w:rFonts w:ascii="Times New Roman" w:hAnsi="Times New Roman"/>
          <w:sz w:val="20"/>
          <w:szCs w:val="20"/>
        </w:rPr>
        <w:t>187,</w:t>
      </w:r>
      <w:r>
        <w:rPr>
          <w:rFonts w:ascii="Times New Roman" w:hAnsi="Times New Roman"/>
          <w:sz w:val="20"/>
          <w:szCs w:val="20"/>
        </w:rPr>
        <w:t>32</w:t>
      </w:r>
      <w:r w:rsidRPr="00E01ECD">
        <w:rPr>
          <w:rFonts w:ascii="Times New Roman" w:hAnsi="Times New Roman"/>
          <w:sz w:val="20"/>
          <w:szCs w:val="20"/>
          <w:lang w:eastAsia="ru-RU"/>
        </w:rPr>
        <w:t>тыс.руб.,, мест. бюджет-</w:t>
      </w:r>
      <w:r w:rsidRPr="00E01ECD">
        <w:rPr>
          <w:rFonts w:ascii="Times New Roman" w:hAnsi="Times New Roman"/>
          <w:sz w:val="20"/>
          <w:szCs w:val="20"/>
        </w:rPr>
        <w:t>1,633</w:t>
      </w:r>
      <w:r w:rsidRPr="00E01ECD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CE2B4C" w:rsidRPr="00E54458" w:rsidRDefault="00CE2B4C" w:rsidP="00CE2B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E2B4C" w:rsidRPr="00E54458" w:rsidRDefault="00CE2B4C" w:rsidP="00CE2B4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54458">
        <w:rPr>
          <w:rFonts w:ascii="Times New Roman" w:hAnsi="Times New Roman"/>
          <w:sz w:val="20"/>
          <w:szCs w:val="20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E54458">
        <w:rPr>
          <w:rFonts w:ascii="Times New Roman" w:hAnsi="Times New Roman"/>
          <w:sz w:val="20"/>
          <w:szCs w:val="20"/>
          <w:lang w:eastAsia="ru-RU"/>
        </w:rPr>
        <w:t>Безбарьерная</w:t>
      </w:r>
      <w:proofErr w:type="spellEnd"/>
      <w:r w:rsidRPr="00E54458">
        <w:rPr>
          <w:rFonts w:ascii="Times New Roman" w:hAnsi="Times New Roman"/>
          <w:sz w:val="20"/>
          <w:szCs w:val="20"/>
          <w:lang w:eastAsia="ru-RU"/>
        </w:rPr>
        <w:t xml:space="preserve"> среда»</w:t>
      </w:r>
      <w:r>
        <w:rPr>
          <w:rFonts w:ascii="Times New Roman" w:hAnsi="Times New Roman"/>
          <w:sz w:val="20"/>
          <w:szCs w:val="20"/>
          <w:lang w:eastAsia="ru-RU"/>
        </w:rPr>
        <w:t xml:space="preserve"> 2021 год всего-</w:t>
      </w:r>
      <w:r w:rsidRPr="00E54458">
        <w:rPr>
          <w:rFonts w:ascii="Times New Roman" w:hAnsi="Times New Roman"/>
          <w:sz w:val="20"/>
          <w:szCs w:val="20"/>
          <w:lang w:eastAsia="ru-RU"/>
        </w:rPr>
        <w:t xml:space="preserve"> 1056,939 тыс</w:t>
      </w:r>
      <w:r>
        <w:rPr>
          <w:rFonts w:ascii="Times New Roman" w:hAnsi="Times New Roman"/>
          <w:sz w:val="20"/>
          <w:szCs w:val="20"/>
          <w:lang w:eastAsia="ru-RU"/>
        </w:rPr>
        <w:t>.</w:t>
      </w:r>
      <w:r w:rsidRPr="00E54458">
        <w:rPr>
          <w:rFonts w:ascii="Times New Roman" w:hAnsi="Times New Roman"/>
          <w:sz w:val="20"/>
          <w:szCs w:val="20"/>
          <w:lang w:eastAsia="ru-RU"/>
        </w:rPr>
        <w:t xml:space="preserve"> руб. </w:t>
      </w:r>
      <w:r>
        <w:rPr>
          <w:rFonts w:ascii="Times New Roman" w:hAnsi="Times New Roman"/>
          <w:sz w:val="20"/>
          <w:szCs w:val="20"/>
          <w:lang w:eastAsia="ru-RU"/>
        </w:rPr>
        <w:t xml:space="preserve">(обл.-694,0 тыс. </w:t>
      </w:r>
      <w:r w:rsidRPr="00E54458">
        <w:rPr>
          <w:rFonts w:ascii="Times New Roman" w:hAnsi="Times New Roman"/>
          <w:sz w:val="20"/>
          <w:szCs w:val="20"/>
          <w:lang w:eastAsia="ru-RU"/>
        </w:rPr>
        <w:t>руб., мест.-462,939 тыс. руб.)</w:t>
      </w:r>
    </w:p>
    <w:p w:rsidR="00CE2B4C" w:rsidRPr="00E01ECD" w:rsidRDefault="00CE2B4C" w:rsidP="00CE2B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Pr="00EE6904" w:rsidRDefault="001167D3" w:rsidP="001167D3"/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167D3" w:rsidRPr="00146809" w:rsidRDefault="001167D3" w:rsidP="00116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167D3" w:rsidRDefault="001167D3" w:rsidP="001167D3"/>
    <w:sectPr w:rsidR="001167D3" w:rsidSect="00447EF5">
      <w:pgSz w:w="16838" w:h="11906" w:orient="landscape"/>
      <w:pgMar w:top="709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03"/>
    <w:rsid w:val="00025671"/>
    <w:rsid w:val="0004000E"/>
    <w:rsid w:val="00050819"/>
    <w:rsid w:val="000876AB"/>
    <w:rsid w:val="001167D3"/>
    <w:rsid w:val="0011777F"/>
    <w:rsid w:val="001318D0"/>
    <w:rsid w:val="00142C25"/>
    <w:rsid w:val="00146809"/>
    <w:rsid w:val="00225D70"/>
    <w:rsid w:val="002315F0"/>
    <w:rsid w:val="00295132"/>
    <w:rsid w:val="002C2740"/>
    <w:rsid w:val="003274CB"/>
    <w:rsid w:val="00364B86"/>
    <w:rsid w:val="00386114"/>
    <w:rsid w:val="004158C2"/>
    <w:rsid w:val="00436466"/>
    <w:rsid w:val="004465E8"/>
    <w:rsid w:val="00447736"/>
    <w:rsid w:val="00447EF5"/>
    <w:rsid w:val="004969BB"/>
    <w:rsid w:val="004F33AB"/>
    <w:rsid w:val="00504176"/>
    <w:rsid w:val="00524E5B"/>
    <w:rsid w:val="00536CAB"/>
    <w:rsid w:val="00597A35"/>
    <w:rsid w:val="005B3C88"/>
    <w:rsid w:val="005F19C7"/>
    <w:rsid w:val="00604302"/>
    <w:rsid w:val="006147C9"/>
    <w:rsid w:val="00621C69"/>
    <w:rsid w:val="006236A0"/>
    <w:rsid w:val="0063260D"/>
    <w:rsid w:val="006A195C"/>
    <w:rsid w:val="006A1FAE"/>
    <w:rsid w:val="006D74F3"/>
    <w:rsid w:val="00701D82"/>
    <w:rsid w:val="00712F4D"/>
    <w:rsid w:val="00713677"/>
    <w:rsid w:val="007254A0"/>
    <w:rsid w:val="00733E7B"/>
    <w:rsid w:val="007C5752"/>
    <w:rsid w:val="007D3198"/>
    <w:rsid w:val="00832848"/>
    <w:rsid w:val="00846115"/>
    <w:rsid w:val="00894EB1"/>
    <w:rsid w:val="008F3FCA"/>
    <w:rsid w:val="00927C2A"/>
    <w:rsid w:val="00983A22"/>
    <w:rsid w:val="009B47D8"/>
    <w:rsid w:val="009B67C7"/>
    <w:rsid w:val="009D7DE4"/>
    <w:rsid w:val="009E0FFD"/>
    <w:rsid w:val="00A078D5"/>
    <w:rsid w:val="00A131FE"/>
    <w:rsid w:val="00A22831"/>
    <w:rsid w:val="00A36528"/>
    <w:rsid w:val="00A52F4C"/>
    <w:rsid w:val="00A714A0"/>
    <w:rsid w:val="00A7578E"/>
    <w:rsid w:val="00A775CB"/>
    <w:rsid w:val="00AD658B"/>
    <w:rsid w:val="00AE202B"/>
    <w:rsid w:val="00AF75F9"/>
    <w:rsid w:val="00B55879"/>
    <w:rsid w:val="00B706FB"/>
    <w:rsid w:val="00BC7217"/>
    <w:rsid w:val="00BD40A3"/>
    <w:rsid w:val="00BE6C99"/>
    <w:rsid w:val="00C17D0F"/>
    <w:rsid w:val="00C366BE"/>
    <w:rsid w:val="00C54D59"/>
    <w:rsid w:val="00C867B3"/>
    <w:rsid w:val="00C93E94"/>
    <w:rsid w:val="00CC50FF"/>
    <w:rsid w:val="00CE2B4C"/>
    <w:rsid w:val="00CF366F"/>
    <w:rsid w:val="00CF6C5B"/>
    <w:rsid w:val="00CF781F"/>
    <w:rsid w:val="00D13EE3"/>
    <w:rsid w:val="00D16302"/>
    <w:rsid w:val="00D24384"/>
    <w:rsid w:val="00D26966"/>
    <w:rsid w:val="00D31B03"/>
    <w:rsid w:val="00DA2D49"/>
    <w:rsid w:val="00DF02E4"/>
    <w:rsid w:val="00E11FED"/>
    <w:rsid w:val="00E14121"/>
    <w:rsid w:val="00E2269E"/>
    <w:rsid w:val="00E45FDE"/>
    <w:rsid w:val="00E61306"/>
    <w:rsid w:val="00EC6395"/>
    <w:rsid w:val="00EE4A98"/>
    <w:rsid w:val="00F249D5"/>
    <w:rsid w:val="00F57E33"/>
    <w:rsid w:val="00FA6F8E"/>
    <w:rsid w:val="00FA7F04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8156950ED45957617B3CF5E91A3C896A5FF133D28BCFE73E0E4F7AF39CCD725E439062440BD2375200D11Dw8Z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8156950ED45957617B3CF5E91A3C896A5FF132DE8BCFE73E0E4F7AF39CCD725E439062440BD2375200D11Dw8Z9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56</Pages>
  <Words>13047</Words>
  <Characters>74374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2021-01-26T07:32:00Z</cp:lastPrinted>
  <dcterms:created xsi:type="dcterms:W3CDTF">2021-01-25T12:00:00Z</dcterms:created>
  <dcterms:modified xsi:type="dcterms:W3CDTF">2021-01-26T07:35:00Z</dcterms:modified>
</cp:coreProperties>
</file>