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58C" w:rsidRPr="0085443B" w:rsidTr="0053458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3458C" w:rsidRPr="008544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78"/>
                  </w:tblGrid>
                  <w:tr w:rsidR="0053458C" w:rsidRPr="0085443B" w:rsidTr="00390AE1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vAlign w:val="center"/>
                      </w:tcPr>
                      <w:p w:rsidR="0053458C" w:rsidRPr="0085443B" w:rsidRDefault="0053458C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КОНТРОЛЬНО-РЕВИЗИОННАЯ КОМИССИЯ (КОНТРОЛЬНО-СЧЕТНЫЙ ОРГАН)</w:t>
                        </w:r>
                      </w:p>
                      <w:p w:rsid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ОКРУГА</w:t>
                        </w:r>
                      </w:p>
                      <w:p w:rsidR="00390AE1" w:rsidRPr="0085443B" w:rsidRDefault="00390AE1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СТАНДАРТ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ВНЕШНЕГО МУНИЦИПАЛЬНОГО ФИНАНСОВОГО КОНТРОЛЯ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t>ОРГАНИЗАЦИЯ И ПРОВЕДЕНИЕ ВНЕШНЕЙ ПРОВЕРКИ ГОДОВОГО ОТЧЕТА ОБ ИСПОЛНЕНИИ БЮДЖЕТА БАБАЕВСКОГО МУНИЦИПАЛЬНОГО ОКРУГА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(</w:t>
                        </w:r>
                        <w:proofErr w:type="gramStart"/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утвержден</w:t>
                        </w:r>
                        <w:proofErr w:type="gramEnd"/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приказом председателя Контрольно-ревизионной комиссии (контрольно-счетного органа) Бабаевского муниципального округа от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03</w:t>
                        </w:r>
                        <w:r w:rsidRPr="0085443B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.04.2023 №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04)</w:t>
                        </w: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5443B" w:rsidRPr="0085443B" w:rsidRDefault="0085443B" w:rsidP="0085443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85443B"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  <w:t>2023 год</w:t>
                        </w:r>
                      </w:p>
                      <w:p w:rsidR="006B3F4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Утвержден </w:t>
                        </w:r>
                      </w:p>
                      <w:p w:rsidR="00390AE1" w:rsidRPr="0085443B" w:rsidRDefault="00390AE1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приказом Контрольно-ревизионной комиссии 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(контрольно-счетного органа) 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Бабаевского муниципального района 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03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04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23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№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04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  <w:lang w:eastAsia="ru-RU"/>
                          </w:rPr>
                          <w:t>Стандарт 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  <w:lang w:eastAsia="ru-RU"/>
                          </w:rPr>
                          <w:br/>
                          <w:t>внешнего муниципального финансового контроля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ОРГАНИЗАЦИЯ И ПРОВЕДЕНИЕ ВНЕШНЕЙ ПРОВЕРКИ ГОДОВОГО ОТЧЕТА ОБ ИСПОЛНЕНИИ БЮДЖЕТА 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</w:p>
                      <w:p w:rsidR="006B3F4B" w:rsidRPr="0085443B" w:rsidRDefault="006B3F4B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D125D" w:rsidRPr="0085443B" w:rsidRDefault="000D125D" w:rsidP="00854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1. Регламентирующие положения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1.1. Стандарт внешнего муниципального финансового контроля «Организация и проведение внешней проверки годового отчета об исполнении бюджета 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(далее – Стандарт) разработан в соответствии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Бюджетным Кодексом Российской Федерации;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Федеральным законом от 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8E441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.02.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Положением  о Контрольно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-ревизионной комиссии (контрольно-счетно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Бабаевского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утвержденн</w:t>
                        </w:r>
                        <w:r w:rsidR="008911F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ым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решением Представительного Собрания 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</w:t>
                        </w:r>
                        <w:r w:rsidR="0054165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5;</w:t>
                        </w:r>
                      </w:p>
                      <w:p w:rsidR="008E441E" w:rsidRPr="0085443B" w:rsidRDefault="008E441E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90AE1" w:rsidRPr="00390AE1" w:rsidRDefault="00390AE1" w:rsidP="00390A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Общими требованиями к стандартам </w:t>
                        </w:r>
                        <w:proofErr w:type="gramStart"/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внешнего</w:t>
                        </w:r>
                        <w:proofErr w:type="gramEnd"/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государственного и муниципальног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</w:p>
                      <w:p w:rsidR="00390AE1" w:rsidRPr="00390AE1" w:rsidRDefault="00390AE1" w:rsidP="00390A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постановлением 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Коллеги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Счетной палаты РФ </w:t>
                        </w:r>
                        <w:r w:rsidR="00246D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29.03.2022 №2ПК.</w:t>
                        </w:r>
                      </w:p>
                      <w:p w:rsidR="00390AE1" w:rsidRDefault="00390AE1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1.2. Стандарт применяется с учетом: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Бюджетного кодекса Российской Федерации;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Федерального закона от 06.12.2011 № 402-ФЗ «О бухгалтерском учете»;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решения Представительного Собрания </w:t>
                        </w:r>
                        <w:r w:rsidR="00AD522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«Об утверждении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Положения о Контрольно-ревизионной комиссии (контрольно-счетном органе) Бабаевского муниципального </w:t>
                        </w:r>
                        <w:r w:rsidR="000F03E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ешения Представительного Собрания 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D252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.09.20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№ 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бюджетном процессе в </w:t>
                        </w:r>
                        <w:r w:rsidR="004D252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Бабаевском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муниципальном </w:t>
                        </w:r>
                        <w:r w:rsidR="006A353B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округе Вологодской области»</w:t>
                        </w:r>
                        <w:r w:rsidR="008911F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D5227" w:rsidRPr="0085443B" w:rsidRDefault="00AD5227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регламента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Контрольно-ревизионной комиссии (контрольно-счетного органа)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Бабаевского муниципального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  <w:p w:rsidR="008911FD" w:rsidRPr="0085443B" w:rsidRDefault="008911FD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8618AA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других стандартов внешнего муниципального финансового контроля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90AE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="008618A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онтрольно-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ревизионной комиссии (контрольно-счетно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1.3. Стандарт предназначен для методологического обеспечения реализации положений: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статей 157, 264.4 Бюджетного кодекса Российской Федерации (далее – БК РФ);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ind w:left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статей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6-ФЗ);</w:t>
                        </w:r>
                      </w:p>
                      <w:p w:rsidR="008614A4" w:rsidRPr="0085443B" w:rsidRDefault="008614A4" w:rsidP="0085443B">
                        <w:pPr>
                          <w:pStyle w:val="a5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статей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D86EFF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Положения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о Контрольно-ревизионной комиссии (контрольно-счетном органе)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утвержденного решением Представительного Собрания Бабаевского муниципального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№ 4</w:t>
                        </w:r>
                        <w:r w:rsidR="006A353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40056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(далее - Положение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);</w:t>
                        </w:r>
                      </w:p>
                      <w:p w:rsidR="008618AA" w:rsidRPr="0085443B" w:rsidRDefault="008618AA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пунктов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Положения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бюджетном процессе в </w:t>
                        </w:r>
                        <w:r w:rsidR="00D11DF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Бабаевском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муниципальном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округе Вологодской области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», утвержденного решением Представительного Собрания </w:t>
                        </w:r>
                        <w:r w:rsidR="00FA5F1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FA5F1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№ </w:t>
                        </w:r>
                        <w:r w:rsidR="00FA5F13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5C75CD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(далее – Положение </w:t>
                        </w:r>
                        <w:r w:rsidR="00FA5F1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бюджетном процессе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5C75CD" w:rsidRPr="0085443B" w:rsidRDefault="005C75CD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2. Общие положения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2.1. Стандарт предназначен для использования должностными лицами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Контрольно-ревизионной комиссии (контрольно-счетного органа) Бабаевского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в практической работе при организации и проведении внешней проверки годового отчета об исполнении бюджета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 также подготовки заключения на годовой отчет об исполнении бюджета </w:t>
                        </w:r>
                        <w:r w:rsidR="00A1420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2.2.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5C75C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 учетом данных внешней проверки годовой бюджетной отчетности 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главн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ых</w:t>
                        </w:r>
                        <w:r w:rsidR="00D25CF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распорядител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ей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бюджетных средств, администратор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ов</w:t>
                        </w:r>
                        <w:r w:rsidR="002B21E0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доходов бюджета, источников финансирования дефицита бюджета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ГАБС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а также данных, полученных в ходе контрольных мероприятий, результаты которых влияют на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показатели годового отчета об исполнении бюджета за отчетный финансовый год, в соответствии с требованиями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Положения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бюджетном процессе.</w:t>
                        </w:r>
                      </w:p>
                      <w:p w:rsidR="002B21E0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2.3. Целью </w:t>
                        </w:r>
                        <w:r w:rsidR="0098602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тандарта является установление единых организационно-правовых, информационных, методических основ проведения внешней проверки годового отч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та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Бабаевского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по тексту - внешняя проверка), включающей внешнюю проверку бюджетной отчётности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ГАБС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подготовку заключения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 об исполнении бюджета </w:t>
                        </w:r>
                        <w:r w:rsidR="002B21E0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2B21E0" w:rsidRPr="0085443B" w:rsidRDefault="002B21E0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2.4. Задачами Стандарта являются: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целей, задач, предмета и объектов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источников информации для проведения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установление основных этапов организации и проведения внешней проверки;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A5D89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установление требований к структуре и содержанию заключений </w:t>
                        </w:r>
                        <w:r w:rsidR="003C751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результатам внешней проверки годовой бюджетной отчетности и на годовой отчет об исполнении бюджета;</w:t>
                        </w:r>
                      </w:p>
                      <w:p w:rsidR="003C7512" w:rsidRPr="0085443B" w:rsidRDefault="003C7512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установление требований к оформлению результатов внешней проверки.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2.5. 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3. Цель, задачи, предмет и объекты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3.1. Целью проведения внешней проверки является контроль достоверности годового отчета об исполнении бюджета и бюджетной отчетности ГАБС </w:t>
                        </w:r>
                        <w:r w:rsidR="00DC5A6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D25CF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законности и результативности деятельности по исполнению бюджета в отчетном финансовом году, с учетом имеющихся ограничений.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3.2. Задачами внешней проверки являются: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установление полноты и достоверности годового отчета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социально-экономических (макроэкономических) условий и результатов исполнения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степени выполнения требований законодательства при организации исполнения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соблюдения (выполнения) бюджетных назначений и иных показателей, установленных решением о бюджете;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формирования и исполнения доходной и расходной частей бюджета, дефицита (профицита) бюджета;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определение эффективности деятельности по управлению муниципальным имуществом (полноты и своевременности поступления в бюджет доходов от использования муниципального имущества), муниципальным долгом, предоставлению бюджетных кредитов и муниципальных гарантий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 муниципального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оценка полноты и своевременности устранения в отчетном финансовом году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                                                                                                                                 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нарушений и недостатков, установленных ранее;</w:t>
                        </w:r>
                      </w:p>
                      <w:p w:rsidR="00DC5A61" w:rsidRPr="0085443B" w:rsidRDefault="00DC5A61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                  </w: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3.3.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Предметом внешней проверки являются годовой отчет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отчетный финансовый год, документы, предоставленные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соответствии с требованиями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РФ и Положения о бюджетном процессе, решения о бюджете на отчетный финансовый год, отдельные нормативные правовые акты, обеспечивающие организацию исполнения бюджета в отчетном финансовом году, годовая бюджетная отчетность ГАБС, а также документы и материалы, необходимые для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проведения внешней проверки и полученные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установленном Положением о </w:t>
                        </w:r>
                        <w:r w:rsidR="005742E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порядке.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3.4. Объектами внешней проверки являются ГАБС. В ходе внешней проверки могут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проводиться встречные выборочные проверки в отношении иных органов и организаций, на которых распространяются полномочия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3.5. Внешняя проверка бюджетной отчетности ГАБС проводится в форме контрольного мероприятия, подготовка заключения на годовой отчет об исполнении бюджета </w:t>
                        </w:r>
                        <w:r w:rsidR="002373C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осуществляется в рамках экспертно-аналитического мероприятия. 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4. Источники информации и сроки проведения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4.1. Информационной основой проведения внешней проверки явля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тся: 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нормативные правовые акты Российской Федерации, Вологодской области, </w:t>
                        </w:r>
                        <w:r w:rsidR="004819AF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решения Представительного Собрания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бюджете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решение о бюджете) на отчетный финансовый год и решения о внесении изменений в решение о бюджете;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проект решения Представительного Собрания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 исполнении бюджета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годовая бюджетная отчетность ГАБС;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годовой отчет об исполнении бюджета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ежемесячные, квартальные отчеты об исполнении бюджета, в том числе консолидированного; 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информация об исполнении муниципальных программ; 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доклады о результатах и основных направлениях деятельности ГАБС (при их составлении ГАБС);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заключения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отчеты об исполнении бюджета за иные отчетные годы;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материалы контрольных мероприятий, проведенных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ходе которых периоды отчетного года входили в проверяемый период;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статистические показатели;</w:t>
                        </w:r>
                      </w:p>
                      <w:p w:rsidR="00DA3316" w:rsidRPr="0085443B" w:rsidRDefault="00DA3316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иная информация, полученная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установленном Положением о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                  </w: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4.2. Для дополнительного анализа и формирования выводов по итогам исполнения бюджета могут направляться запросы в органы исполнительной власти </w:t>
                        </w:r>
                        <w:r w:rsidR="006E15D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</w:t>
                        </w:r>
                        <w:r w:rsidR="00F612B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Межрайонную инспекцию Федеральной налоговой службы № </w:t>
                        </w:r>
                        <w:r w:rsidR="00F612B7"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8544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по Вологодской области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иные учреждения и организации.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4.3. Сроки проведения внешней проверки, подготовки и рассмотрения заключения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устанавливаются внутренним организационно-распорядительным документом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учетом требований статьи 264.4 </w:t>
                        </w:r>
                        <w:r w:rsidR="003B7C22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A768AB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оложения о бюджетном процессе.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5. Содержание внешней проверки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5.1. Анализ годовой бюджетной отчетности ГАБС,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ГАБС, итогах исполнения бюджета, законности и эффективности деятельности участников бюджетного процесса.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5.2. Степень полноты годовой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5.3. Степень достоверности годовой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5.4. В ходе проведения внешней проверки годовой бюджетной отчетности ГАБС выборочно анализируются обоснованность и законность произведенных расходов, учет денежных обязательств, закупки товаров (работ, услуг), показатели выполнения муниципальных заданий, организация внутреннего финансового контроля и аудита.</w:t>
                        </w:r>
                      </w:p>
                      <w:p w:rsidR="009F5767" w:rsidRPr="004D272B" w:rsidRDefault="009F5767" w:rsidP="009F5767">
                        <w:pPr>
                          <w:spacing w:before="120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5.5. </w:t>
                        </w:r>
                        <w:r w:rsidRPr="004D27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внимание следует уделять 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ГАБС на исполнение бюджета или их зависимость от него (приоритет отдается показателям, более тесно связанным с исполнением бюджета).</w:t>
                        </w:r>
                      </w:p>
                      <w:p w:rsidR="009F5767" w:rsidRDefault="009F5767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По итогам оценки полноты и достоверности, соблюдения порядка составления и представления годовой бюджетной отчетности ГАБС делаются следующие выводы: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соблюдении сроков формирования и представления отчетности;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полноте состава и внутренней согласованности данных отчетности (в том числе за разные периоды);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соблюдении требований составления бюджетной отч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тности;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соответствии отчетности данным других субъектов (консолидируемая отчетность, данные параллельного учета, взаимосвязанные показатели), показателям регистров и первичных документов учета (при нео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ходимости);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соответствии характеристик объектов учета или содержания хозяйственных операций способу их отражения в учете и отчетности (при необходимости); 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достоверности бюджетной отчётности;</w:t>
                        </w:r>
                      </w:p>
                      <w:p w:rsidR="004A7CF4" w:rsidRPr="0085443B" w:rsidRDefault="004A7CF4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проведении мероприятий, установлении проблем и нарушений в ходе инвентаризаций, внутреннего финансового контроля и аудита. </w:t>
                        </w:r>
                      </w:p>
                      <w:p w:rsidR="00EA5D89" w:rsidRPr="0085443B" w:rsidRDefault="00EA5D89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 ходе анализа отчета об исполнении бюджета 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округа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оценивается динамика основных показателей социально-экономического развития </w:t>
                        </w:r>
                        <w:r w:rsidR="004A7CF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 демографическая ситуация, индекс промышленного производства, инвестиций в основной капитал, прибыль прибыльных организаций до налогообложения, реальные располагаемые денежные доходы населения, уровень официально зарегистрированной безработицы и др.</w:t>
                        </w:r>
                      </w:p>
                      <w:p w:rsidR="00EA5D89" w:rsidRPr="0085443B" w:rsidRDefault="00EA5D89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ходе проверки организации исполнения бюджета рассматривается соответствие отчета об исполнении бюджета бюджетному законодательству, полнота выполнения текстовых статей решения о бюджете, соответствие сводной бюджетной росписи решению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Приоритет отдается вопросам соблюдения новых требований законодательства к порядку организации исполнения бюджета и осуществлению новых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(введенных с отчетного года) процедур.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В ходе проверки исполнения решения о бюджете рассматривается соблюдение (выполнение) бюджетных назначений (в том числе предельных) по доходам, расходам, источникам финансирования дефицита, объему заимствований, муниципального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(не</w:t>
                        </w:r>
                        <w:r w:rsidR="008E13F9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превышение) и (или) достижение (выполнение).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Процент (доля) исполнения бюджетных назначений, достижение целевых показателей муниципальных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Информация о нарушениях и недостатках, выявленных в ходе внешней проверки, анализируется и обобщается.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  <w:r w:rsidR="009F57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Конкретный набор вопросов проведения внешней проверки определяется ее участниками исходя из сроков проведения, значимости и существенности ожидаемых выводов, содержания и особенностей исполнения закона о бюджете, возможности использования полученных результатов в ходе других контрольных и экспертно-аналитических мероприятий.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6. Организация внешней проверки бюджета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6.1. Внешняя проверка бюджета за отчетный финансовый год включается в годовой план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Мероприятие по подготовке заключения на годовой отчет об исполнении бюджета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отражается в разделе «Экспертно-аналитические мероприятия» плана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мероприятие по проведению внешней проверки годовой бюджетной отчетности ГАБС – в разделе «Контрольные мероприятия» плана работы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6.2. Ответственными за проведение внешней проверки являются должностные лица, определенные в соответствии с внутренним организационно-распорядительным документом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6.3. 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год, и предусматривает следующие </w:t>
                        </w:r>
                        <w:proofErr w:type="gramStart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три основные этапа</w:t>
                        </w:r>
                        <w:proofErr w:type="gramEnd"/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</w:p>
                      <w:p w:rsidR="005A16ED" w:rsidRPr="0085443B" w:rsidRDefault="005A16ED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подготовительный этап;</w:t>
                        </w:r>
                      </w:p>
                      <w:p w:rsidR="005A16ED" w:rsidRPr="0085443B" w:rsidRDefault="005A16ED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основной этап;</w:t>
                        </w:r>
                      </w:p>
                      <w:p w:rsidR="005A16ED" w:rsidRPr="0085443B" w:rsidRDefault="005A16ED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tabs>
                            <w:tab w:val="left" w:pos="86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заключительный этап.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6.4. На подготовительном этапе внешней проверки изучается содержание следующих документов: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Послания Президента Российской Федерации Федеральному Собранию Российской Федерации;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основных направлений бюджетной политики и основных направлений налоговой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политики Российской Федерации, Вологодской области,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основных итогов социально-экономического развития </w:t>
                        </w:r>
                        <w:r w:rsidR="005A16E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отчетный финансовый год;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решения о бюджете за отчетный финансовый год;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бюджетного прогноза на долгосрочный период;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муниципальных программ (проектов муниципальных программ, проектов изменений указанных программ);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тном финансовом году, а также к решению о бюджете и его исполнении, формированию и предоставлению годового отчета и бюджетной отчетности;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тном финансовом году, а также устанавливающих требования к решению о бюджете и его исполнении, формированию и предоставлению годового отчета и бюджетной отчетности;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необходимости, других документов (материалов), необходимых для подготовки организационно-распорядительных документов, в частности, программы внешней проверки.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на годовую бюджетную отчетность, сводного заключения </w:t>
                        </w:r>
                        <w:r w:rsidR="00FB7AAD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6.5. В ходе основного этапа внешней проверки осуществляются: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проверки годовой бюджетной отчетности ГАБС с подготовкой акта проверки;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проверка, анализ и оценка обоснованности основных показателей годового отчета об исполнении бюджета;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оценка и анализ материалов, представленных одновременно с годовым отчетом об исполнении бюджета, и информации по направленным запросам.</w:t>
                        </w:r>
                      </w:p>
                      <w:p w:rsidR="0053458C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6.6. На заключительном этапе внешней проверки осуществляется подготовка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утверждение отчета по результатам проверки годовой бюджетной отчетности ГАБС и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заключения 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годовой отчет об исполнении бюджета округа, напр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авление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41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отчета и </w:t>
                        </w:r>
                        <w:bookmarkStart w:id="0" w:name="_GoBack"/>
                        <w:bookmarkEnd w:id="0"/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заключения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Представительное Собрание </w:t>
                        </w:r>
                        <w:r w:rsidR="00BD1B2A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Главе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Default="0053458C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7. Подготовка заключения по результатам внешней проверки</w:t>
                        </w:r>
                      </w:p>
                      <w:p w:rsidR="00A43CFE" w:rsidRPr="0085443B" w:rsidRDefault="00A43CFE" w:rsidP="0085443B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7.1. Подготовка заключения </w:t>
                        </w:r>
                        <w:r w:rsidR="00E71B4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осуществляется в соответствии с внутренним организационно-распорядительным документом </w:t>
                        </w:r>
                        <w:r w:rsidR="00E71B46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7.2. Результаты внешней проверки бюджетной отчетности ГАБС и их деятельности по исполнению бюджета в отчетном году оформляются актами проверки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основании актов проверок годовой бюджетной отчетности ГАБС оформляется отчет.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7.3. В акте проверки годовой бюджетной отчетности ГАБС подлежат отражению: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сроки и полнота представления отчетности, должностные лица, несущие ответственность за подготовку и представление бюджетной отчетности, предмет проверки отчетности по доходам и расходам;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отчета об исполнении бюджета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прочие вопросы деятельности субъекта бюджетной отчетности (в том числе обоснованность и законность произведенных расходов, учет денежных обязательств, закупки товаров (работ, услуг), показатели выполнения муниципальных заданий, организация внутреннего финансового контроля и аудита);</w:t>
                        </w:r>
                      </w:p>
                      <w:p w:rsidR="00C16614" w:rsidRPr="0085443B" w:rsidRDefault="00C16614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меры по устранению нарушений, выполнению рекомендаций по результатам внешней проверки за предыдущий финансовый год;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ind w:left="0" w:firstLine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7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выводы по </w:t>
                        </w:r>
                        <w:r w:rsidR="00C1661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результатам внешней проверки.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7.4. Структура заключения </w:t>
                        </w:r>
                        <w:r w:rsidR="00C16614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формируется исходя из задач (вопросов) внешней проверки и структуры решения о бюджете (в том числе принципов построения бюджетной классификации) и включает следующие основные разделы: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общие положения (сроки и полнота представления документов, источники информации для заключения и т.д.);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предварительные итоги социально-экономического развития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общая характеристика исполнения бюджета </w:t>
                        </w:r>
                        <w:r w:rsidR="00DE5A4C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исполнение доходной части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2B5463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включая общую оценку доходов, налоговых и неналоговых доходов, безвозмездных поступлений;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исполнение расходной части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включая общую оценку расходов, анализ расходов на основе перечня муниципальных программ с учетом разделов и подразделов классификации расходов;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бюджетных инвестиций;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дебиторской и кредиторской задолженности бюджетной отчетности;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оценка дефицита (профицита) бюджета </w:t>
                        </w:r>
                        <w:r w:rsidR="001D6691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источников финансирования дефицита, включая бюджетные кредиты;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анализ долговых и гарантийных обязательств; 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E5A4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общий объем бюджетных ассигнований, направляемых на исполнение публичных нормативных обязательств;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общие итоги внешней проверки бюджетной отчетности ГАБС;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выводы и рекомендации;</w:t>
                        </w:r>
                      </w:p>
                      <w:p w:rsidR="00DE5A4C" w:rsidRPr="0085443B" w:rsidRDefault="00DE5A4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3458C" w:rsidRPr="0085443B" w:rsidRDefault="0053458C" w:rsidP="0085443B">
                        <w:pPr>
                          <w:pStyle w:val="a5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приложения.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7.5. В заключении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должны быть отражены основные вопросы соответствия исполнения бюджета </w:t>
                        </w:r>
                        <w:r w:rsidR="0077642E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и налоговой политики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иным программным и стратегическим документам.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7.6. В заключении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7.7. В заключении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отражаются установленные факты несоответствия годового отчета об исполнении бюджета и годовой бюджетной отчетности ГАБС нормативным правовым актам, факты неполноты и недостоверности показателей годового отчета об исполнении бюджета и годовой бюджетной отчетности ГАБС. 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Выводы и предложения должны соответствовать структуре и содержанию заключения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бюджета, указывать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 при необходимости, вносить предложения по совершенствованию бюджетного процесса и нормативных правовых актов, регулирующих бюджетные правоотношения, эффективности использования бюджетных средств.</w:t>
                        </w:r>
                      </w:p>
                      <w:p w:rsidR="0053458C" w:rsidRPr="0085443B" w:rsidRDefault="0053458C" w:rsidP="008544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Заключение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                  </w:r>
                      </w:p>
                      <w:p w:rsidR="0053458C" w:rsidRPr="0085443B" w:rsidRDefault="0053458C" w:rsidP="00B10FB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7.1</w:t>
                        </w:r>
                        <w:r w:rsidR="00B10F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Заключение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годовой отчет об исполнении бюджета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подписывается председателем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КРК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 учетом сроков его направления в Представительное Собрание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Бабаевского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муниципального района и </w:t>
                        </w:r>
                        <w:r w:rsidR="007E4125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лаве </w:t>
                        </w:r>
                        <w:r w:rsidR="00F76AC7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округа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установленных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БК РФ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ED1908"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854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оложением о бюджетном процессе.</w:t>
                        </w:r>
                      </w:p>
                    </w:tc>
                  </w:tr>
                  <w:tr w:rsidR="0053458C" w:rsidRPr="0085443B" w:rsidTr="00390AE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458C" w:rsidRPr="0085443B" w:rsidRDefault="0053458C" w:rsidP="0085443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53458C" w:rsidRPr="0085443B" w:rsidRDefault="0053458C" w:rsidP="0085443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53458C" w:rsidRPr="0085443B" w:rsidRDefault="0053458C" w:rsidP="0085443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3458C" w:rsidRPr="0085443B" w:rsidRDefault="0053458C" w:rsidP="0085443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458C" w:rsidTr="0053458C">
        <w:trPr>
          <w:tblCellSpacing w:w="0" w:type="dxa"/>
        </w:trPr>
        <w:tc>
          <w:tcPr>
            <w:tcW w:w="5000" w:type="pct"/>
            <w:vAlign w:val="center"/>
          </w:tcPr>
          <w:p w:rsidR="0053458C" w:rsidRDefault="0053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58C" w:rsidRDefault="0053458C" w:rsidP="0053458C"/>
    <w:p w:rsidR="00230E5A" w:rsidRDefault="00230E5A"/>
    <w:sectPr w:rsidR="00230E5A" w:rsidSect="006B3F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4F" w:rsidRDefault="0000764F" w:rsidP="0053458C">
      <w:pPr>
        <w:spacing w:after="0" w:line="240" w:lineRule="auto"/>
      </w:pPr>
      <w:r>
        <w:separator/>
      </w:r>
    </w:p>
  </w:endnote>
  <w:endnote w:type="continuationSeparator" w:id="0">
    <w:p w:rsidR="0000764F" w:rsidRDefault="0000764F" w:rsidP="0053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4F" w:rsidRDefault="0000764F" w:rsidP="0053458C">
      <w:pPr>
        <w:spacing w:after="0" w:line="240" w:lineRule="auto"/>
      </w:pPr>
      <w:r>
        <w:separator/>
      </w:r>
    </w:p>
  </w:footnote>
  <w:footnote w:type="continuationSeparator" w:id="0">
    <w:p w:rsidR="0000764F" w:rsidRDefault="0000764F" w:rsidP="0053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6DD"/>
    <w:multiLevelType w:val="hybridMultilevel"/>
    <w:tmpl w:val="A65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5C82"/>
    <w:multiLevelType w:val="hybridMultilevel"/>
    <w:tmpl w:val="71D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23D"/>
    <w:multiLevelType w:val="hybridMultilevel"/>
    <w:tmpl w:val="238E76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FD"/>
    <w:rsid w:val="0000764F"/>
    <w:rsid w:val="000D125D"/>
    <w:rsid w:val="000F03E2"/>
    <w:rsid w:val="00107494"/>
    <w:rsid w:val="00107ECB"/>
    <w:rsid w:val="001D6691"/>
    <w:rsid w:val="00222FAA"/>
    <w:rsid w:val="00230E5A"/>
    <w:rsid w:val="002373C8"/>
    <w:rsid w:val="00246DCC"/>
    <w:rsid w:val="002B21E0"/>
    <w:rsid w:val="002B5463"/>
    <w:rsid w:val="002C1A2B"/>
    <w:rsid w:val="002D7627"/>
    <w:rsid w:val="003417EE"/>
    <w:rsid w:val="00390AE1"/>
    <w:rsid w:val="003B7C22"/>
    <w:rsid w:val="003C7512"/>
    <w:rsid w:val="00400567"/>
    <w:rsid w:val="004336F2"/>
    <w:rsid w:val="004374ED"/>
    <w:rsid w:val="004727DE"/>
    <w:rsid w:val="004819AF"/>
    <w:rsid w:val="004A7CF4"/>
    <w:rsid w:val="004D2523"/>
    <w:rsid w:val="004D46DE"/>
    <w:rsid w:val="004D6672"/>
    <w:rsid w:val="0053458C"/>
    <w:rsid w:val="0054165A"/>
    <w:rsid w:val="005742E3"/>
    <w:rsid w:val="005A16ED"/>
    <w:rsid w:val="005C75CD"/>
    <w:rsid w:val="006A353B"/>
    <w:rsid w:val="006B3F4B"/>
    <w:rsid w:val="006E15D6"/>
    <w:rsid w:val="00722EEE"/>
    <w:rsid w:val="0077642E"/>
    <w:rsid w:val="007A7A4D"/>
    <w:rsid w:val="007E1FFF"/>
    <w:rsid w:val="007E4125"/>
    <w:rsid w:val="007F209F"/>
    <w:rsid w:val="0085443B"/>
    <w:rsid w:val="008614A4"/>
    <w:rsid w:val="008618AA"/>
    <w:rsid w:val="008911FD"/>
    <w:rsid w:val="008A6DCB"/>
    <w:rsid w:val="008E13F9"/>
    <w:rsid w:val="008E441E"/>
    <w:rsid w:val="0098602C"/>
    <w:rsid w:val="009B0559"/>
    <w:rsid w:val="009F5767"/>
    <w:rsid w:val="00A14205"/>
    <w:rsid w:val="00A43CFE"/>
    <w:rsid w:val="00A768AB"/>
    <w:rsid w:val="00AD5227"/>
    <w:rsid w:val="00B10FB8"/>
    <w:rsid w:val="00B57745"/>
    <w:rsid w:val="00BD1B2A"/>
    <w:rsid w:val="00C16614"/>
    <w:rsid w:val="00C47AAC"/>
    <w:rsid w:val="00D11DF6"/>
    <w:rsid w:val="00D1443D"/>
    <w:rsid w:val="00D2302D"/>
    <w:rsid w:val="00D25CF7"/>
    <w:rsid w:val="00D86EFF"/>
    <w:rsid w:val="00DA3316"/>
    <w:rsid w:val="00DC5A61"/>
    <w:rsid w:val="00DE5A4C"/>
    <w:rsid w:val="00E41A81"/>
    <w:rsid w:val="00E71B46"/>
    <w:rsid w:val="00EA5D89"/>
    <w:rsid w:val="00ED1908"/>
    <w:rsid w:val="00F612B7"/>
    <w:rsid w:val="00F711FD"/>
    <w:rsid w:val="00F76AC7"/>
    <w:rsid w:val="00FA5F13"/>
    <w:rsid w:val="00FB7AAD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5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58C"/>
    <w:rPr>
      <w:sz w:val="20"/>
      <w:szCs w:val="20"/>
    </w:rPr>
  </w:style>
  <w:style w:type="paragraph" w:styleId="a5">
    <w:name w:val="List Paragraph"/>
    <w:basedOn w:val="a"/>
    <w:uiPriority w:val="34"/>
    <w:qFormat/>
    <w:rsid w:val="0053458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3458C"/>
    <w:rPr>
      <w:vertAlign w:val="superscript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D19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5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458C"/>
    <w:rPr>
      <w:sz w:val="20"/>
      <w:szCs w:val="20"/>
    </w:rPr>
  </w:style>
  <w:style w:type="paragraph" w:styleId="a5">
    <w:name w:val="List Paragraph"/>
    <w:basedOn w:val="a"/>
    <w:uiPriority w:val="34"/>
    <w:qFormat/>
    <w:rsid w:val="0053458C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53458C"/>
    <w:rPr>
      <w:vertAlign w:val="superscript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D19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170-99BD-4D81-99F6-14BC82D2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2024-03-06T06:21:00Z</cp:lastPrinted>
  <dcterms:created xsi:type="dcterms:W3CDTF">2023-04-14T08:14:00Z</dcterms:created>
  <dcterms:modified xsi:type="dcterms:W3CDTF">2024-03-06T06:25:00Z</dcterms:modified>
</cp:coreProperties>
</file>